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drawings/drawing5.xml" ContentType="application/vnd.openxmlformats-officedocument.drawingml.chartshapes+xml"/>
  <Override PartName="/word/charts/chart7.xml" ContentType="application/vnd.openxmlformats-officedocument.drawingml.chart+xml"/>
  <Override PartName="/word/drawings/drawing6.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drawings/drawing7.xml" ContentType="application/vnd.openxmlformats-officedocument.drawingml.chartshapes+xml"/>
  <Override PartName="/word/charts/chart18.xml" ContentType="application/vnd.openxmlformats-officedocument.drawingml.chart+xml"/>
  <Override PartName="/word/drawings/drawing8.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D4C" w:rsidRDefault="00FC4D4C" w:rsidP="00DF09E9">
      <w:pPr>
        <w:spacing w:after="0" w:line="360" w:lineRule="auto"/>
      </w:pPr>
    </w:p>
    <w:p w:rsidR="007E709D" w:rsidRDefault="007E709D" w:rsidP="00DF09E9">
      <w:pPr>
        <w:spacing w:after="0" w:line="360" w:lineRule="auto"/>
      </w:pPr>
    </w:p>
    <w:p w:rsidR="007E709D" w:rsidRDefault="007E709D" w:rsidP="00DF09E9">
      <w:pPr>
        <w:spacing w:after="0" w:line="360" w:lineRule="auto"/>
      </w:pPr>
    </w:p>
    <w:p w:rsidR="007E709D" w:rsidRDefault="007E709D" w:rsidP="00DF09E9">
      <w:pPr>
        <w:spacing w:after="0" w:line="360" w:lineRule="auto"/>
      </w:pPr>
    </w:p>
    <w:p w:rsidR="007E709D" w:rsidRDefault="007E709D" w:rsidP="00DF09E9">
      <w:pPr>
        <w:spacing w:after="0" w:line="360" w:lineRule="auto"/>
      </w:pPr>
    </w:p>
    <w:p w:rsidR="007E709D" w:rsidRDefault="007E709D" w:rsidP="00DF09E9">
      <w:pPr>
        <w:spacing w:after="0" w:line="360" w:lineRule="auto"/>
      </w:pPr>
    </w:p>
    <w:p w:rsidR="007E709D" w:rsidRDefault="007E709D" w:rsidP="00DF09E9">
      <w:pPr>
        <w:spacing w:after="0" w:line="360" w:lineRule="auto"/>
      </w:pPr>
    </w:p>
    <w:p w:rsidR="007E709D" w:rsidRDefault="007E709D" w:rsidP="00DF09E9">
      <w:pPr>
        <w:spacing w:after="0" w:line="360" w:lineRule="auto"/>
      </w:pPr>
    </w:p>
    <w:p w:rsidR="007E709D" w:rsidRDefault="007E709D" w:rsidP="00DF09E9">
      <w:pPr>
        <w:spacing w:after="0" w:line="360" w:lineRule="auto"/>
      </w:pPr>
    </w:p>
    <w:p w:rsidR="007E709D" w:rsidRDefault="007E709D" w:rsidP="00DF09E9">
      <w:pPr>
        <w:spacing w:after="0" w:line="360" w:lineRule="auto"/>
      </w:pPr>
    </w:p>
    <w:p w:rsidR="007E709D" w:rsidRDefault="007E709D" w:rsidP="00DF09E9">
      <w:pPr>
        <w:spacing w:after="0" w:line="360" w:lineRule="auto"/>
      </w:pPr>
    </w:p>
    <w:p w:rsidR="007E709D" w:rsidRDefault="007E709D" w:rsidP="00DF09E9">
      <w:pPr>
        <w:spacing w:after="0" w:line="360" w:lineRule="auto"/>
        <w:jc w:val="center"/>
        <w:rPr>
          <w:b/>
          <w:color w:val="1F497D" w:themeColor="text2"/>
          <w:sz w:val="32"/>
          <w:szCs w:val="32"/>
        </w:rPr>
      </w:pPr>
      <w:r w:rsidRPr="007E709D">
        <w:rPr>
          <w:b/>
          <w:color w:val="1F497D" w:themeColor="text2"/>
          <w:sz w:val="32"/>
          <w:szCs w:val="32"/>
        </w:rPr>
        <w:t>Młodzi bezrobotni i osoby powyżej 45</w:t>
      </w:r>
      <w:r w:rsidR="0099168F">
        <w:rPr>
          <w:b/>
          <w:color w:val="1F497D" w:themeColor="text2"/>
          <w:sz w:val="32"/>
          <w:szCs w:val="32"/>
        </w:rPr>
        <w:t>/50</w:t>
      </w:r>
      <w:r w:rsidRPr="007E709D">
        <w:rPr>
          <w:b/>
          <w:color w:val="1F497D" w:themeColor="text2"/>
          <w:sz w:val="32"/>
          <w:szCs w:val="32"/>
        </w:rPr>
        <w:t xml:space="preserve"> roku życia </w:t>
      </w:r>
      <w:r w:rsidR="00FE4034">
        <w:rPr>
          <w:b/>
          <w:color w:val="1F497D" w:themeColor="text2"/>
          <w:sz w:val="32"/>
          <w:szCs w:val="32"/>
        </w:rPr>
        <w:br/>
      </w:r>
      <w:r w:rsidRPr="007E709D">
        <w:rPr>
          <w:b/>
          <w:color w:val="1F497D" w:themeColor="text2"/>
          <w:sz w:val="32"/>
          <w:szCs w:val="32"/>
        </w:rPr>
        <w:t xml:space="preserve">na wielkopolskim rynku pracy </w:t>
      </w:r>
      <w:r w:rsidR="00FE4034">
        <w:rPr>
          <w:b/>
          <w:color w:val="1F497D" w:themeColor="text2"/>
          <w:sz w:val="32"/>
          <w:szCs w:val="32"/>
        </w:rPr>
        <w:br/>
      </w:r>
      <w:r w:rsidRPr="007E709D">
        <w:rPr>
          <w:b/>
          <w:color w:val="1F497D" w:themeColor="text2"/>
          <w:sz w:val="32"/>
          <w:szCs w:val="32"/>
        </w:rPr>
        <w:t>w latach 2009-2011</w:t>
      </w:r>
    </w:p>
    <w:p w:rsidR="007E709D" w:rsidRDefault="007E709D" w:rsidP="00DF09E9">
      <w:pPr>
        <w:spacing w:after="0" w:line="360" w:lineRule="auto"/>
        <w:rPr>
          <w:b/>
          <w:color w:val="1F497D" w:themeColor="text2"/>
          <w:sz w:val="32"/>
          <w:szCs w:val="32"/>
        </w:rPr>
      </w:pPr>
      <w:r>
        <w:rPr>
          <w:b/>
          <w:color w:val="1F497D" w:themeColor="text2"/>
          <w:sz w:val="32"/>
          <w:szCs w:val="32"/>
        </w:rPr>
        <w:br w:type="page"/>
      </w:r>
    </w:p>
    <w:p w:rsidR="00097DDB" w:rsidRDefault="00097DDB" w:rsidP="00DF09E9">
      <w:pPr>
        <w:pStyle w:val="Nagwekspisutreci"/>
        <w:spacing w:before="0" w:line="360" w:lineRule="auto"/>
        <w:rPr>
          <w:rFonts w:asciiTheme="minorHAnsi" w:eastAsiaTheme="minorHAnsi" w:hAnsiTheme="minorHAnsi" w:cstheme="minorBidi"/>
          <w:b w:val="0"/>
          <w:bCs w:val="0"/>
          <w:color w:val="auto"/>
          <w:sz w:val="22"/>
          <w:szCs w:val="22"/>
          <w:lang w:eastAsia="en-US"/>
        </w:rPr>
      </w:pPr>
    </w:p>
    <w:sdt>
      <w:sdtPr>
        <w:rPr>
          <w:rFonts w:asciiTheme="minorHAnsi" w:eastAsiaTheme="minorHAnsi" w:hAnsiTheme="minorHAnsi" w:cstheme="minorBidi"/>
          <w:b w:val="0"/>
          <w:bCs w:val="0"/>
          <w:color w:val="auto"/>
          <w:sz w:val="22"/>
          <w:szCs w:val="22"/>
          <w:lang w:eastAsia="en-US"/>
        </w:rPr>
        <w:id w:val="-446312492"/>
        <w:docPartObj>
          <w:docPartGallery w:val="Table of Contents"/>
          <w:docPartUnique/>
        </w:docPartObj>
      </w:sdtPr>
      <w:sdtEndPr/>
      <w:sdtContent>
        <w:p w:rsidR="009B34F2" w:rsidRPr="009753C4" w:rsidRDefault="009B34F2" w:rsidP="00DF09E9">
          <w:pPr>
            <w:pStyle w:val="Nagwekspisutreci"/>
            <w:spacing w:before="0" w:line="360" w:lineRule="auto"/>
            <w:rPr>
              <w:color w:val="4F81BD" w:themeColor="accent1"/>
            </w:rPr>
          </w:pPr>
          <w:r w:rsidRPr="00213E0F">
            <w:t>Spis treści</w:t>
          </w:r>
        </w:p>
        <w:p w:rsidR="00756BB1" w:rsidRDefault="009B34F2">
          <w:pPr>
            <w:pStyle w:val="Spistreci1"/>
            <w:tabs>
              <w:tab w:val="left" w:pos="440"/>
              <w:tab w:val="right" w:leader="dot" w:pos="9062"/>
            </w:tabs>
            <w:rPr>
              <w:rFonts w:eastAsiaTheme="minorEastAsia"/>
              <w:noProof/>
              <w:lang w:eastAsia="pl-PL"/>
            </w:rPr>
          </w:pPr>
          <w:r w:rsidRPr="009753C4">
            <w:rPr>
              <w:color w:val="4F81BD" w:themeColor="accent1"/>
            </w:rPr>
            <w:fldChar w:fldCharType="begin"/>
          </w:r>
          <w:r w:rsidRPr="009753C4">
            <w:rPr>
              <w:color w:val="4F81BD" w:themeColor="accent1"/>
            </w:rPr>
            <w:instrText xml:space="preserve"> TOC \o "1-3" \h \z \u </w:instrText>
          </w:r>
          <w:r w:rsidRPr="009753C4">
            <w:rPr>
              <w:color w:val="4F81BD" w:themeColor="accent1"/>
            </w:rPr>
            <w:fldChar w:fldCharType="separate"/>
          </w:r>
          <w:hyperlink w:anchor="_Toc333477250" w:history="1">
            <w:r w:rsidR="00756BB1" w:rsidRPr="00F54906">
              <w:rPr>
                <w:rStyle w:val="Hipercze"/>
                <w:noProof/>
              </w:rPr>
              <w:t>I.</w:t>
            </w:r>
            <w:r w:rsidR="00756BB1">
              <w:rPr>
                <w:rFonts w:eastAsiaTheme="minorEastAsia"/>
                <w:noProof/>
                <w:lang w:eastAsia="pl-PL"/>
              </w:rPr>
              <w:tab/>
            </w:r>
            <w:r w:rsidR="00756BB1" w:rsidRPr="00F54906">
              <w:rPr>
                <w:rStyle w:val="Hipercze"/>
                <w:noProof/>
              </w:rPr>
              <w:t>Wstęp</w:t>
            </w:r>
            <w:r w:rsidR="00756BB1">
              <w:rPr>
                <w:noProof/>
                <w:webHidden/>
              </w:rPr>
              <w:tab/>
            </w:r>
            <w:r w:rsidR="00756BB1">
              <w:rPr>
                <w:noProof/>
                <w:webHidden/>
              </w:rPr>
              <w:fldChar w:fldCharType="begin"/>
            </w:r>
            <w:r w:rsidR="00756BB1">
              <w:rPr>
                <w:noProof/>
                <w:webHidden/>
              </w:rPr>
              <w:instrText xml:space="preserve"> PAGEREF _Toc333477250 \h </w:instrText>
            </w:r>
            <w:r w:rsidR="00756BB1">
              <w:rPr>
                <w:noProof/>
                <w:webHidden/>
              </w:rPr>
            </w:r>
            <w:r w:rsidR="00756BB1">
              <w:rPr>
                <w:noProof/>
                <w:webHidden/>
              </w:rPr>
              <w:fldChar w:fldCharType="separate"/>
            </w:r>
            <w:r w:rsidR="00F6087D">
              <w:rPr>
                <w:noProof/>
                <w:webHidden/>
              </w:rPr>
              <w:t>3</w:t>
            </w:r>
            <w:r w:rsidR="00756BB1">
              <w:rPr>
                <w:noProof/>
                <w:webHidden/>
              </w:rPr>
              <w:fldChar w:fldCharType="end"/>
            </w:r>
          </w:hyperlink>
        </w:p>
        <w:p w:rsidR="00756BB1" w:rsidRDefault="00F6087D">
          <w:pPr>
            <w:pStyle w:val="Spistreci1"/>
            <w:tabs>
              <w:tab w:val="left" w:pos="440"/>
              <w:tab w:val="right" w:leader="dot" w:pos="9062"/>
            </w:tabs>
            <w:rPr>
              <w:rFonts w:eastAsiaTheme="minorEastAsia"/>
              <w:noProof/>
              <w:lang w:eastAsia="pl-PL"/>
            </w:rPr>
          </w:pPr>
          <w:hyperlink w:anchor="_Toc333477251" w:history="1">
            <w:r w:rsidR="00756BB1" w:rsidRPr="00F54906">
              <w:rPr>
                <w:rStyle w:val="Hipercze"/>
                <w:noProof/>
              </w:rPr>
              <w:t>II.</w:t>
            </w:r>
            <w:r w:rsidR="00756BB1">
              <w:rPr>
                <w:rFonts w:eastAsiaTheme="minorEastAsia"/>
                <w:noProof/>
                <w:lang w:eastAsia="pl-PL"/>
              </w:rPr>
              <w:tab/>
            </w:r>
            <w:r w:rsidR="00756BB1" w:rsidRPr="00F54906">
              <w:rPr>
                <w:rStyle w:val="Hipercze"/>
                <w:noProof/>
              </w:rPr>
              <w:t>Struktura bezrobocia w Wielkopolsce w latach 2009-2011</w:t>
            </w:r>
            <w:r w:rsidR="00756BB1">
              <w:rPr>
                <w:noProof/>
                <w:webHidden/>
              </w:rPr>
              <w:tab/>
            </w:r>
            <w:r w:rsidR="00756BB1">
              <w:rPr>
                <w:noProof/>
                <w:webHidden/>
              </w:rPr>
              <w:fldChar w:fldCharType="begin"/>
            </w:r>
            <w:r w:rsidR="00756BB1">
              <w:rPr>
                <w:noProof/>
                <w:webHidden/>
              </w:rPr>
              <w:instrText xml:space="preserve"> PAGEREF _Toc333477251 \h </w:instrText>
            </w:r>
            <w:r w:rsidR="00756BB1">
              <w:rPr>
                <w:noProof/>
                <w:webHidden/>
              </w:rPr>
            </w:r>
            <w:r w:rsidR="00756BB1">
              <w:rPr>
                <w:noProof/>
                <w:webHidden/>
              </w:rPr>
              <w:fldChar w:fldCharType="separate"/>
            </w:r>
            <w:r>
              <w:rPr>
                <w:noProof/>
                <w:webHidden/>
              </w:rPr>
              <w:t>4</w:t>
            </w:r>
            <w:r w:rsidR="00756BB1">
              <w:rPr>
                <w:noProof/>
                <w:webHidden/>
              </w:rPr>
              <w:fldChar w:fldCharType="end"/>
            </w:r>
          </w:hyperlink>
        </w:p>
        <w:p w:rsidR="00756BB1" w:rsidRDefault="00F6087D">
          <w:pPr>
            <w:pStyle w:val="Spistreci2"/>
            <w:tabs>
              <w:tab w:val="left" w:pos="660"/>
              <w:tab w:val="right" w:leader="dot" w:pos="9062"/>
            </w:tabs>
            <w:rPr>
              <w:rFonts w:eastAsiaTheme="minorEastAsia"/>
              <w:noProof/>
              <w:lang w:eastAsia="pl-PL"/>
            </w:rPr>
          </w:pPr>
          <w:hyperlink w:anchor="_Toc333477252" w:history="1">
            <w:r w:rsidR="00756BB1" w:rsidRPr="00F54906">
              <w:rPr>
                <w:rStyle w:val="Hipercze"/>
                <w:noProof/>
              </w:rPr>
              <w:t>1.</w:t>
            </w:r>
            <w:r w:rsidR="00756BB1">
              <w:rPr>
                <w:rFonts w:eastAsiaTheme="minorEastAsia"/>
                <w:noProof/>
                <w:lang w:eastAsia="pl-PL"/>
              </w:rPr>
              <w:tab/>
            </w:r>
            <w:r w:rsidR="00756BB1" w:rsidRPr="00F54906">
              <w:rPr>
                <w:rStyle w:val="Hipercze"/>
                <w:noProof/>
              </w:rPr>
              <w:t>Ogólne informacje dotyczące bezrobocia wśród osób do 25 i powyżej 50 roku życia</w:t>
            </w:r>
            <w:r w:rsidR="00756BB1">
              <w:rPr>
                <w:noProof/>
                <w:webHidden/>
              </w:rPr>
              <w:tab/>
            </w:r>
            <w:r w:rsidR="00756BB1">
              <w:rPr>
                <w:noProof/>
                <w:webHidden/>
              </w:rPr>
              <w:fldChar w:fldCharType="begin"/>
            </w:r>
            <w:r w:rsidR="00756BB1">
              <w:rPr>
                <w:noProof/>
                <w:webHidden/>
              </w:rPr>
              <w:instrText xml:space="preserve"> PAGEREF _Toc333477252 \h </w:instrText>
            </w:r>
            <w:r w:rsidR="00756BB1">
              <w:rPr>
                <w:noProof/>
                <w:webHidden/>
              </w:rPr>
            </w:r>
            <w:r w:rsidR="00756BB1">
              <w:rPr>
                <w:noProof/>
                <w:webHidden/>
              </w:rPr>
              <w:fldChar w:fldCharType="separate"/>
            </w:r>
            <w:r>
              <w:rPr>
                <w:noProof/>
                <w:webHidden/>
              </w:rPr>
              <w:t>4</w:t>
            </w:r>
            <w:r w:rsidR="00756BB1">
              <w:rPr>
                <w:noProof/>
                <w:webHidden/>
              </w:rPr>
              <w:fldChar w:fldCharType="end"/>
            </w:r>
          </w:hyperlink>
        </w:p>
        <w:p w:rsidR="00756BB1" w:rsidRDefault="00F6087D">
          <w:pPr>
            <w:pStyle w:val="Spistreci2"/>
            <w:tabs>
              <w:tab w:val="left" w:pos="660"/>
              <w:tab w:val="right" w:leader="dot" w:pos="9062"/>
            </w:tabs>
            <w:rPr>
              <w:rFonts w:eastAsiaTheme="minorEastAsia"/>
              <w:noProof/>
              <w:lang w:eastAsia="pl-PL"/>
            </w:rPr>
          </w:pPr>
          <w:hyperlink w:anchor="_Toc333477253" w:history="1">
            <w:r w:rsidR="00756BB1" w:rsidRPr="00F54906">
              <w:rPr>
                <w:rStyle w:val="Hipercze"/>
                <w:noProof/>
              </w:rPr>
              <w:t>2.</w:t>
            </w:r>
            <w:r w:rsidR="00756BB1">
              <w:rPr>
                <w:rFonts w:eastAsiaTheme="minorEastAsia"/>
                <w:noProof/>
                <w:lang w:eastAsia="pl-PL"/>
              </w:rPr>
              <w:tab/>
            </w:r>
            <w:r w:rsidR="00756BB1" w:rsidRPr="00F54906">
              <w:rPr>
                <w:rStyle w:val="Hipercze"/>
                <w:noProof/>
              </w:rPr>
              <w:t>Struktura bezrobocia według wieku</w:t>
            </w:r>
            <w:r w:rsidR="00756BB1">
              <w:rPr>
                <w:noProof/>
                <w:webHidden/>
              </w:rPr>
              <w:tab/>
            </w:r>
            <w:r w:rsidR="00756BB1">
              <w:rPr>
                <w:noProof/>
                <w:webHidden/>
              </w:rPr>
              <w:fldChar w:fldCharType="begin"/>
            </w:r>
            <w:r w:rsidR="00756BB1">
              <w:rPr>
                <w:noProof/>
                <w:webHidden/>
              </w:rPr>
              <w:instrText xml:space="preserve"> PAGEREF _Toc333477253 \h </w:instrText>
            </w:r>
            <w:r w:rsidR="00756BB1">
              <w:rPr>
                <w:noProof/>
                <w:webHidden/>
              </w:rPr>
            </w:r>
            <w:r w:rsidR="00756BB1">
              <w:rPr>
                <w:noProof/>
                <w:webHidden/>
              </w:rPr>
              <w:fldChar w:fldCharType="separate"/>
            </w:r>
            <w:r>
              <w:rPr>
                <w:noProof/>
                <w:webHidden/>
              </w:rPr>
              <w:t>8</w:t>
            </w:r>
            <w:r w:rsidR="00756BB1">
              <w:rPr>
                <w:noProof/>
                <w:webHidden/>
              </w:rPr>
              <w:fldChar w:fldCharType="end"/>
            </w:r>
          </w:hyperlink>
        </w:p>
        <w:p w:rsidR="00756BB1" w:rsidRDefault="00F6087D">
          <w:pPr>
            <w:pStyle w:val="Spistreci2"/>
            <w:tabs>
              <w:tab w:val="left" w:pos="660"/>
              <w:tab w:val="right" w:leader="dot" w:pos="9062"/>
            </w:tabs>
            <w:rPr>
              <w:rFonts w:eastAsiaTheme="minorEastAsia"/>
              <w:noProof/>
              <w:lang w:eastAsia="pl-PL"/>
            </w:rPr>
          </w:pPr>
          <w:hyperlink w:anchor="_Toc333477254" w:history="1">
            <w:r w:rsidR="00756BB1" w:rsidRPr="00F54906">
              <w:rPr>
                <w:rStyle w:val="Hipercze"/>
                <w:noProof/>
              </w:rPr>
              <w:t>3.</w:t>
            </w:r>
            <w:r w:rsidR="00756BB1">
              <w:rPr>
                <w:rFonts w:eastAsiaTheme="minorEastAsia"/>
                <w:noProof/>
                <w:lang w:eastAsia="pl-PL"/>
              </w:rPr>
              <w:tab/>
            </w:r>
            <w:r w:rsidR="00756BB1" w:rsidRPr="00F54906">
              <w:rPr>
                <w:rStyle w:val="Hipercze"/>
                <w:noProof/>
              </w:rPr>
              <w:t>Bezrobotni do 25 i powyżej 50 roku życia według wykształcenia</w:t>
            </w:r>
            <w:r w:rsidR="00756BB1">
              <w:rPr>
                <w:noProof/>
                <w:webHidden/>
              </w:rPr>
              <w:tab/>
            </w:r>
            <w:r w:rsidR="00756BB1">
              <w:rPr>
                <w:noProof/>
                <w:webHidden/>
              </w:rPr>
              <w:fldChar w:fldCharType="begin"/>
            </w:r>
            <w:r w:rsidR="00756BB1">
              <w:rPr>
                <w:noProof/>
                <w:webHidden/>
              </w:rPr>
              <w:instrText xml:space="preserve"> PAGEREF _Toc333477254 \h </w:instrText>
            </w:r>
            <w:r w:rsidR="00756BB1">
              <w:rPr>
                <w:noProof/>
                <w:webHidden/>
              </w:rPr>
            </w:r>
            <w:r w:rsidR="00756BB1">
              <w:rPr>
                <w:noProof/>
                <w:webHidden/>
              </w:rPr>
              <w:fldChar w:fldCharType="separate"/>
            </w:r>
            <w:r>
              <w:rPr>
                <w:noProof/>
                <w:webHidden/>
              </w:rPr>
              <w:t>9</w:t>
            </w:r>
            <w:r w:rsidR="00756BB1">
              <w:rPr>
                <w:noProof/>
                <w:webHidden/>
              </w:rPr>
              <w:fldChar w:fldCharType="end"/>
            </w:r>
          </w:hyperlink>
        </w:p>
        <w:p w:rsidR="00756BB1" w:rsidRDefault="00F6087D">
          <w:pPr>
            <w:pStyle w:val="Spistreci2"/>
            <w:tabs>
              <w:tab w:val="left" w:pos="660"/>
              <w:tab w:val="right" w:leader="dot" w:pos="9062"/>
            </w:tabs>
            <w:rPr>
              <w:rFonts w:eastAsiaTheme="minorEastAsia"/>
              <w:noProof/>
              <w:lang w:eastAsia="pl-PL"/>
            </w:rPr>
          </w:pPr>
          <w:hyperlink w:anchor="_Toc333477255" w:history="1">
            <w:r w:rsidR="00756BB1" w:rsidRPr="00F54906">
              <w:rPr>
                <w:rStyle w:val="Hipercze"/>
                <w:noProof/>
              </w:rPr>
              <w:t>4.</w:t>
            </w:r>
            <w:r w:rsidR="00756BB1">
              <w:rPr>
                <w:rFonts w:eastAsiaTheme="minorEastAsia"/>
                <w:noProof/>
                <w:lang w:eastAsia="pl-PL"/>
              </w:rPr>
              <w:tab/>
            </w:r>
            <w:r w:rsidR="00756BB1" w:rsidRPr="00F54906">
              <w:rPr>
                <w:rStyle w:val="Hipercze"/>
                <w:noProof/>
              </w:rPr>
              <w:t>Bezrobotni do 25 i powyżej 50 roku życia według czasu pozostawania bez pracy</w:t>
            </w:r>
            <w:r w:rsidR="00756BB1">
              <w:rPr>
                <w:noProof/>
                <w:webHidden/>
              </w:rPr>
              <w:tab/>
            </w:r>
            <w:r w:rsidR="00756BB1">
              <w:rPr>
                <w:noProof/>
                <w:webHidden/>
              </w:rPr>
              <w:fldChar w:fldCharType="begin"/>
            </w:r>
            <w:r w:rsidR="00756BB1">
              <w:rPr>
                <w:noProof/>
                <w:webHidden/>
              </w:rPr>
              <w:instrText xml:space="preserve"> PAGEREF _Toc333477255 \h </w:instrText>
            </w:r>
            <w:r w:rsidR="00756BB1">
              <w:rPr>
                <w:noProof/>
                <w:webHidden/>
              </w:rPr>
            </w:r>
            <w:r w:rsidR="00756BB1">
              <w:rPr>
                <w:noProof/>
                <w:webHidden/>
              </w:rPr>
              <w:fldChar w:fldCharType="separate"/>
            </w:r>
            <w:r>
              <w:rPr>
                <w:noProof/>
                <w:webHidden/>
              </w:rPr>
              <w:t>10</w:t>
            </w:r>
            <w:r w:rsidR="00756BB1">
              <w:rPr>
                <w:noProof/>
                <w:webHidden/>
              </w:rPr>
              <w:fldChar w:fldCharType="end"/>
            </w:r>
          </w:hyperlink>
        </w:p>
        <w:p w:rsidR="00756BB1" w:rsidRDefault="00F6087D">
          <w:pPr>
            <w:pStyle w:val="Spistreci2"/>
            <w:tabs>
              <w:tab w:val="left" w:pos="660"/>
              <w:tab w:val="right" w:leader="dot" w:pos="9062"/>
            </w:tabs>
            <w:rPr>
              <w:rFonts w:eastAsiaTheme="minorEastAsia"/>
              <w:noProof/>
              <w:lang w:eastAsia="pl-PL"/>
            </w:rPr>
          </w:pPr>
          <w:hyperlink w:anchor="_Toc333477256" w:history="1">
            <w:r w:rsidR="00756BB1" w:rsidRPr="00F54906">
              <w:rPr>
                <w:rStyle w:val="Hipercze"/>
                <w:noProof/>
              </w:rPr>
              <w:t>5.</w:t>
            </w:r>
            <w:r w:rsidR="00756BB1">
              <w:rPr>
                <w:rFonts w:eastAsiaTheme="minorEastAsia"/>
                <w:noProof/>
                <w:lang w:eastAsia="pl-PL"/>
              </w:rPr>
              <w:tab/>
            </w:r>
            <w:r w:rsidR="00756BB1" w:rsidRPr="00F54906">
              <w:rPr>
                <w:rStyle w:val="Hipercze"/>
                <w:noProof/>
              </w:rPr>
              <w:t>Bezrobotni do 25 i powyżej 50 roku życia według stażu pracy</w:t>
            </w:r>
            <w:r w:rsidR="00756BB1">
              <w:rPr>
                <w:noProof/>
                <w:webHidden/>
              </w:rPr>
              <w:tab/>
            </w:r>
            <w:r w:rsidR="00756BB1">
              <w:rPr>
                <w:noProof/>
                <w:webHidden/>
              </w:rPr>
              <w:fldChar w:fldCharType="begin"/>
            </w:r>
            <w:r w:rsidR="00756BB1">
              <w:rPr>
                <w:noProof/>
                <w:webHidden/>
              </w:rPr>
              <w:instrText xml:space="preserve"> PAGEREF _Toc333477256 \h </w:instrText>
            </w:r>
            <w:r w:rsidR="00756BB1">
              <w:rPr>
                <w:noProof/>
                <w:webHidden/>
              </w:rPr>
            </w:r>
            <w:r w:rsidR="00756BB1">
              <w:rPr>
                <w:noProof/>
                <w:webHidden/>
              </w:rPr>
              <w:fldChar w:fldCharType="separate"/>
            </w:r>
            <w:r>
              <w:rPr>
                <w:noProof/>
                <w:webHidden/>
              </w:rPr>
              <w:t>12</w:t>
            </w:r>
            <w:r w:rsidR="00756BB1">
              <w:rPr>
                <w:noProof/>
                <w:webHidden/>
              </w:rPr>
              <w:fldChar w:fldCharType="end"/>
            </w:r>
          </w:hyperlink>
        </w:p>
        <w:p w:rsidR="00756BB1" w:rsidRDefault="00F6087D">
          <w:pPr>
            <w:pStyle w:val="Spistreci1"/>
            <w:tabs>
              <w:tab w:val="left" w:pos="660"/>
              <w:tab w:val="right" w:leader="dot" w:pos="9062"/>
            </w:tabs>
            <w:rPr>
              <w:rFonts w:eastAsiaTheme="minorEastAsia"/>
              <w:noProof/>
              <w:lang w:eastAsia="pl-PL"/>
            </w:rPr>
          </w:pPr>
          <w:hyperlink w:anchor="_Toc333477257" w:history="1">
            <w:r w:rsidR="00756BB1" w:rsidRPr="00F54906">
              <w:rPr>
                <w:rStyle w:val="Hipercze"/>
                <w:noProof/>
              </w:rPr>
              <w:t>III.</w:t>
            </w:r>
            <w:r w:rsidR="00756BB1">
              <w:rPr>
                <w:rFonts w:eastAsiaTheme="minorEastAsia"/>
                <w:noProof/>
                <w:lang w:eastAsia="pl-PL"/>
              </w:rPr>
              <w:tab/>
            </w:r>
            <w:r w:rsidR="00756BB1" w:rsidRPr="00F54906">
              <w:rPr>
                <w:rStyle w:val="Hipercze"/>
                <w:noProof/>
              </w:rPr>
              <w:t>Realizacja działań na rzecz osób bezrobotnych, finansowanych ze środków Funduszu Pracy</w:t>
            </w:r>
            <w:r w:rsidR="00756BB1">
              <w:rPr>
                <w:noProof/>
                <w:webHidden/>
              </w:rPr>
              <w:tab/>
            </w:r>
            <w:r w:rsidR="00756BB1">
              <w:rPr>
                <w:noProof/>
                <w:webHidden/>
              </w:rPr>
              <w:fldChar w:fldCharType="begin"/>
            </w:r>
            <w:r w:rsidR="00756BB1">
              <w:rPr>
                <w:noProof/>
                <w:webHidden/>
              </w:rPr>
              <w:instrText xml:space="preserve"> PAGEREF _Toc333477257 \h </w:instrText>
            </w:r>
            <w:r w:rsidR="00756BB1">
              <w:rPr>
                <w:noProof/>
                <w:webHidden/>
              </w:rPr>
            </w:r>
            <w:r w:rsidR="00756BB1">
              <w:rPr>
                <w:noProof/>
                <w:webHidden/>
              </w:rPr>
              <w:fldChar w:fldCharType="separate"/>
            </w:r>
            <w:r>
              <w:rPr>
                <w:noProof/>
                <w:webHidden/>
              </w:rPr>
              <w:t>14</w:t>
            </w:r>
            <w:r w:rsidR="00756BB1">
              <w:rPr>
                <w:noProof/>
                <w:webHidden/>
              </w:rPr>
              <w:fldChar w:fldCharType="end"/>
            </w:r>
          </w:hyperlink>
        </w:p>
        <w:p w:rsidR="00756BB1" w:rsidRDefault="00F6087D">
          <w:pPr>
            <w:pStyle w:val="Spistreci2"/>
            <w:tabs>
              <w:tab w:val="left" w:pos="660"/>
              <w:tab w:val="right" w:leader="dot" w:pos="9062"/>
            </w:tabs>
            <w:rPr>
              <w:rFonts w:eastAsiaTheme="minorEastAsia"/>
              <w:noProof/>
              <w:lang w:eastAsia="pl-PL"/>
            </w:rPr>
          </w:pPr>
          <w:hyperlink w:anchor="_Toc333477258" w:history="1">
            <w:r w:rsidR="00756BB1" w:rsidRPr="00F54906">
              <w:rPr>
                <w:rStyle w:val="Hipercze"/>
                <w:noProof/>
              </w:rPr>
              <w:t>1.</w:t>
            </w:r>
            <w:r w:rsidR="00756BB1">
              <w:rPr>
                <w:rFonts w:eastAsiaTheme="minorEastAsia"/>
                <w:noProof/>
                <w:lang w:eastAsia="pl-PL"/>
              </w:rPr>
              <w:tab/>
            </w:r>
            <w:r w:rsidR="00756BB1" w:rsidRPr="00F54906">
              <w:rPr>
                <w:rStyle w:val="Hipercze"/>
                <w:noProof/>
              </w:rPr>
              <w:t>Aktywizacja osób bezrobotnych do 25 oraz powyżej 50 roku życia</w:t>
            </w:r>
            <w:r w:rsidR="00756BB1">
              <w:rPr>
                <w:noProof/>
                <w:webHidden/>
              </w:rPr>
              <w:tab/>
            </w:r>
            <w:r w:rsidR="00756BB1">
              <w:rPr>
                <w:noProof/>
                <w:webHidden/>
              </w:rPr>
              <w:fldChar w:fldCharType="begin"/>
            </w:r>
            <w:r w:rsidR="00756BB1">
              <w:rPr>
                <w:noProof/>
                <w:webHidden/>
              </w:rPr>
              <w:instrText xml:space="preserve"> PAGEREF _Toc333477258 \h </w:instrText>
            </w:r>
            <w:r w:rsidR="00756BB1">
              <w:rPr>
                <w:noProof/>
                <w:webHidden/>
              </w:rPr>
            </w:r>
            <w:r w:rsidR="00756BB1">
              <w:rPr>
                <w:noProof/>
                <w:webHidden/>
              </w:rPr>
              <w:fldChar w:fldCharType="separate"/>
            </w:r>
            <w:r>
              <w:rPr>
                <w:noProof/>
                <w:webHidden/>
              </w:rPr>
              <w:t>14</w:t>
            </w:r>
            <w:r w:rsidR="00756BB1">
              <w:rPr>
                <w:noProof/>
                <w:webHidden/>
              </w:rPr>
              <w:fldChar w:fldCharType="end"/>
            </w:r>
          </w:hyperlink>
        </w:p>
        <w:p w:rsidR="00756BB1" w:rsidRDefault="00F6087D">
          <w:pPr>
            <w:pStyle w:val="Spistreci2"/>
            <w:tabs>
              <w:tab w:val="left" w:pos="660"/>
              <w:tab w:val="right" w:leader="dot" w:pos="9062"/>
            </w:tabs>
            <w:rPr>
              <w:rFonts w:eastAsiaTheme="minorEastAsia"/>
              <w:noProof/>
              <w:lang w:eastAsia="pl-PL"/>
            </w:rPr>
          </w:pPr>
          <w:hyperlink w:anchor="_Toc333477259" w:history="1">
            <w:r w:rsidR="00756BB1" w:rsidRPr="00F54906">
              <w:rPr>
                <w:rStyle w:val="Hipercze"/>
                <w:noProof/>
              </w:rPr>
              <w:t>2.</w:t>
            </w:r>
            <w:r w:rsidR="00756BB1">
              <w:rPr>
                <w:rFonts w:eastAsiaTheme="minorEastAsia"/>
                <w:noProof/>
                <w:lang w:eastAsia="pl-PL"/>
              </w:rPr>
              <w:tab/>
            </w:r>
            <w:r w:rsidR="00756BB1" w:rsidRPr="00F54906">
              <w:rPr>
                <w:rStyle w:val="Hipercze"/>
                <w:noProof/>
              </w:rPr>
              <w:t>Programy z rezerwy Ministerstwa Pracy i Polityki Społecznej (MPiPS) oraz programy specjalne na rzecz osób bezrobotnych poniżej 30 oraz powyżej 45/50 roku życia</w:t>
            </w:r>
            <w:r w:rsidR="00756BB1">
              <w:rPr>
                <w:noProof/>
                <w:webHidden/>
              </w:rPr>
              <w:tab/>
            </w:r>
            <w:r w:rsidR="00756BB1">
              <w:rPr>
                <w:noProof/>
                <w:webHidden/>
              </w:rPr>
              <w:fldChar w:fldCharType="begin"/>
            </w:r>
            <w:r w:rsidR="00756BB1">
              <w:rPr>
                <w:noProof/>
                <w:webHidden/>
              </w:rPr>
              <w:instrText xml:space="preserve"> PAGEREF _Toc333477259 \h </w:instrText>
            </w:r>
            <w:r w:rsidR="00756BB1">
              <w:rPr>
                <w:noProof/>
                <w:webHidden/>
              </w:rPr>
            </w:r>
            <w:r w:rsidR="00756BB1">
              <w:rPr>
                <w:noProof/>
                <w:webHidden/>
              </w:rPr>
              <w:fldChar w:fldCharType="separate"/>
            </w:r>
            <w:r>
              <w:rPr>
                <w:noProof/>
                <w:webHidden/>
              </w:rPr>
              <w:t>16</w:t>
            </w:r>
            <w:r w:rsidR="00756BB1">
              <w:rPr>
                <w:noProof/>
                <w:webHidden/>
              </w:rPr>
              <w:fldChar w:fldCharType="end"/>
            </w:r>
          </w:hyperlink>
        </w:p>
        <w:p w:rsidR="00756BB1" w:rsidRDefault="00F6087D">
          <w:pPr>
            <w:pStyle w:val="Spistreci3"/>
            <w:tabs>
              <w:tab w:val="left" w:pos="1100"/>
              <w:tab w:val="right" w:leader="dot" w:pos="9062"/>
            </w:tabs>
            <w:rPr>
              <w:rFonts w:eastAsiaTheme="minorEastAsia"/>
              <w:noProof/>
              <w:lang w:eastAsia="pl-PL"/>
            </w:rPr>
          </w:pPr>
          <w:hyperlink w:anchor="_Toc333477260" w:history="1">
            <w:r w:rsidR="00756BB1" w:rsidRPr="00F54906">
              <w:rPr>
                <w:rStyle w:val="Hipercze"/>
                <w:noProof/>
              </w:rPr>
              <w:t>2.1</w:t>
            </w:r>
            <w:r w:rsidR="00756BB1">
              <w:rPr>
                <w:rFonts w:eastAsiaTheme="minorEastAsia"/>
                <w:noProof/>
                <w:lang w:eastAsia="pl-PL"/>
              </w:rPr>
              <w:tab/>
            </w:r>
            <w:r w:rsidR="00756BB1" w:rsidRPr="00F54906">
              <w:rPr>
                <w:rStyle w:val="Hipercze"/>
                <w:noProof/>
              </w:rPr>
              <w:t>Rok 2009</w:t>
            </w:r>
            <w:r w:rsidR="00756BB1">
              <w:rPr>
                <w:noProof/>
                <w:webHidden/>
              </w:rPr>
              <w:tab/>
            </w:r>
            <w:r w:rsidR="00756BB1">
              <w:rPr>
                <w:noProof/>
                <w:webHidden/>
              </w:rPr>
              <w:fldChar w:fldCharType="begin"/>
            </w:r>
            <w:r w:rsidR="00756BB1">
              <w:rPr>
                <w:noProof/>
                <w:webHidden/>
              </w:rPr>
              <w:instrText xml:space="preserve"> PAGEREF _Toc333477260 \h </w:instrText>
            </w:r>
            <w:r w:rsidR="00756BB1">
              <w:rPr>
                <w:noProof/>
                <w:webHidden/>
              </w:rPr>
            </w:r>
            <w:r w:rsidR="00756BB1">
              <w:rPr>
                <w:noProof/>
                <w:webHidden/>
              </w:rPr>
              <w:fldChar w:fldCharType="separate"/>
            </w:r>
            <w:r>
              <w:rPr>
                <w:noProof/>
                <w:webHidden/>
              </w:rPr>
              <w:t>17</w:t>
            </w:r>
            <w:r w:rsidR="00756BB1">
              <w:rPr>
                <w:noProof/>
                <w:webHidden/>
              </w:rPr>
              <w:fldChar w:fldCharType="end"/>
            </w:r>
          </w:hyperlink>
        </w:p>
        <w:p w:rsidR="00756BB1" w:rsidRDefault="00F6087D">
          <w:pPr>
            <w:pStyle w:val="Spistreci3"/>
            <w:tabs>
              <w:tab w:val="left" w:pos="1100"/>
              <w:tab w:val="right" w:leader="dot" w:pos="9062"/>
            </w:tabs>
            <w:rPr>
              <w:rFonts w:eastAsiaTheme="minorEastAsia"/>
              <w:noProof/>
              <w:lang w:eastAsia="pl-PL"/>
            </w:rPr>
          </w:pPr>
          <w:hyperlink w:anchor="_Toc333477261" w:history="1">
            <w:r w:rsidR="00756BB1" w:rsidRPr="00F54906">
              <w:rPr>
                <w:rStyle w:val="Hipercze"/>
                <w:noProof/>
              </w:rPr>
              <w:t>2.2</w:t>
            </w:r>
            <w:r w:rsidR="00756BB1">
              <w:rPr>
                <w:rFonts w:eastAsiaTheme="minorEastAsia"/>
                <w:noProof/>
                <w:lang w:eastAsia="pl-PL"/>
              </w:rPr>
              <w:tab/>
            </w:r>
            <w:r w:rsidR="00756BB1" w:rsidRPr="00F54906">
              <w:rPr>
                <w:rStyle w:val="Hipercze"/>
                <w:noProof/>
              </w:rPr>
              <w:t>Rok 2010</w:t>
            </w:r>
            <w:r w:rsidR="00756BB1">
              <w:rPr>
                <w:noProof/>
                <w:webHidden/>
              </w:rPr>
              <w:tab/>
            </w:r>
            <w:r w:rsidR="00756BB1">
              <w:rPr>
                <w:noProof/>
                <w:webHidden/>
              </w:rPr>
              <w:fldChar w:fldCharType="begin"/>
            </w:r>
            <w:r w:rsidR="00756BB1">
              <w:rPr>
                <w:noProof/>
                <w:webHidden/>
              </w:rPr>
              <w:instrText xml:space="preserve"> PAGEREF _Toc333477261 \h </w:instrText>
            </w:r>
            <w:r w:rsidR="00756BB1">
              <w:rPr>
                <w:noProof/>
                <w:webHidden/>
              </w:rPr>
            </w:r>
            <w:r w:rsidR="00756BB1">
              <w:rPr>
                <w:noProof/>
                <w:webHidden/>
              </w:rPr>
              <w:fldChar w:fldCharType="separate"/>
            </w:r>
            <w:r>
              <w:rPr>
                <w:noProof/>
                <w:webHidden/>
              </w:rPr>
              <w:t>17</w:t>
            </w:r>
            <w:r w:rsidR="00756BB1">
              <w:rPr>
                <w:noProof/>
                <w:webHidden/>
              </w:rPr>
              <w:fldChar w:fldCharType="end"/>
            </w:r>
          </w:hyperlink>
        </w:p>
        <w:p w:rsidR="00756BB1" w:rsidRDefault="00F6087D">
          <w:pPr>
            <w:pStyle w:val="Spistreci3"/>
            <w:tabs>
              <w:tab w:val="left" w:pos="1100"/>
              <w:tab w:val="right" w:leader="dot" w:pos="9062"/>
            </w:tabs>
            <w:rPr>
              <w:rFonts w:eastAsiaTheme="minorEastAsia"/>
              <w:noProof/>
              <w:lang w:eastAsia="pl-PL"/>
            </w:rPr>
          </w:pPr>
          <w:hyperlink w:anchor="_Toc333477262" w:history="1">
            <w:r w:rsidR="00756BB1" w:rsidRPr="00F54906">
              <w:rPr>
                <w:rStyle w:val="Hipercze"/>
                <w:noProof/>
              </w:rPr>
              <w:t>2.3</w:t>
            </w:r>
            <w:r w:rsidR="00756BB1">
              <w:rPr>
                <w:rFonts w:eastAsiaTheme="minorEastAsia"/>
                <w:noProof/>
                <w:lang w:eastAsia="pl-PL"/>
              </w:rPr>
              <w:tab/>
            </w:r>
            <w:r w:rsidR="00756BB1" w:rsidRPr="00F54906">
              <w:rPr>
                <w:rStyle w:val="Hipercze"/>
                <w:noProof/>
              </w:rPr>
              <w:t>Rok 2011</w:t>
            </w:r>
            <w:r w:rsidR="00756BB1">
              <w:rPr>
                <w:noProof/>
                <w:webHidden/>
              </w:rPr>
              <w:tab/>
            </w:r>
            <w:r w:rsidR="00756BB1">
              <w:rPr>
                <w:noProof/>
                <w:webHidden/>
              </w:rPr>
              <w:fldChar w:fldCharType="begin"/>
            </w:r>
            <w:r w:rsidR="00756BB1">
              <w:rPr>
                <w:noProof/>
                <w:webHidden/>
              </w:rPr>
              <w:instrText xml:space="preserve"> PAGEREF _Toc333477262 \h </w:instrText>
            </w:r>
            <w:r w:rsidR="00756BB1">
              <w:rPr>
                <w:noProof/>
                <w:webHidden/>
              </w:rPr>
            </w:r>
            <w:r w:rsidR="00756BB1">
              <w:rPr>
                <w:noProof/>
                <w:webHidden/>
              </w:rPr>
              <w:fldChar w:fldCharType="separate"/>
            </w:r>
            <w:r>
              <w:rPr>
                <w:noProof/>
                <w:webHidden/>
              </w:rPr>
              <w:t>19</w:t>
            </w:r>
            <w:r w:rsidR="00756BB1">
              <w:rPr>
                <w:noProof/>
                <w:webHidden/>
              </w:rPr>
              <w:fldChar w:fldCharType="end"/>
            </w:r>
          </w:hyperlink>
        </w:p>
        <w:p w:rsidR="00756BB1" w:rsidRDefault="00F6087D">
          <w:pPr>
            <w:pStyle w:val="Spistreci3"/>
            <w:tabs>
              <w:tab w:val="left" w:pos="1100"/>
              <w:tab w:val="right" w:leader="dot" w:pos="9062"/>
            </w:tabs>
            <w:rPr>
              <w:rFonts w:eastAsiaTheme="minorEastAsia"/>
              <w:noProof/>
              <w:lang w:eastAsia="pl-PL"/>
            </w:rPr>
          </w:pPr>
          <w:hyperlink w:anchor="_Toc333477263" w:history="1">
            <w:r w:rsidR="00756BB1" w:rsidRPr="00F54906">
              <w:rPr>
                <w:rStyle w:val="Hipercze"/>
                <w:noProof/>
              </w:rPr>
              <w:t>2.4</w:t>
            </w:r>
            <w:r w:rsidR="00756BB1">
              <w:rPr>
                <w:rFonts w:eastAsiaTheme="minorEastAsia"/>
                <w:noProof/>
                <w:lang w:eastAsia="pl-PL"/>
              </w:rPr>
              <w:tab/>
            </w:r>
            <w:r w:rsidR="00756BB1" w:rsidRPr="00F54906">
              <w:rPr>
                <w:rStyle w:val="Hipercze"/>
                <w:noProof/>
              </w:rPr>
              <w:t>Rok 2012</w:t>
            </w:r>
            <w:r w:rsidR="00756BB1">
              <w:rPr>
                <w:noProof/>
                <w:webHidden/>
              </w:rPr>
              <w:tab/>
            </w:r>
            <w:r w:rsidR="00756BB1">
              <w:rPr>
                <w:noProof/>
                <w:webHidden/>
              </w:rPr>
              <w:fldChar w:fldCharType="begin"/>
            </w:r>
            <w:r w:rsidR="00756BB1">
              <w:rPr>
                <w:noProof/>
                <w:webHidden/>
              </w:rPr>
              <w:instrText xml:space="preserve"> PAGEREF _Toc333477263 \h </w:instrText>
            </w:r>
            <w:r w:rsidR="00756BB1">
              <w:rPr>
                <w:noProof/>
                <w:webHidden/>
              </w:rPr>
            </w:r>
            <w:r w:rsidR="00756BB1">
              <w:rPr>
                <w:noProof/>
                <w:webHidden/>
              </w:rPr>
              <w:fldChar w:fldCharType="separate"/>
            </w:r>
            <w:r>
              <w:rPr>
                <w:noProof/>
                <w:webHidden/>
              </w:rPr>
              <w:t>20</w:t>
            </w:r>
            <w:r w:rsidR="00756BB1">
              <w:rPr>
                <w:noProof/>
                <w:webHidden/>
              </w:rPr>
              <w:fldChar w:fldCharType="end"/>
            </w:r>
          </w:hyperlink>
        </w:p>
        <w:p w:rsidR="00756BB1" w:rsidRDefault="00F6087D">
          <w:pPr>
            <w:pStyle w:val="Spistreci2"/>
            <w:tabs>
              <w:tab w:val="left" w:pos="660"/>
              <w:tab w:val="right" w:leader="dot" w:pos="9062"/>
            </w:tabs>
            <w:rPr>
              <w:rFonts w:eastAsiaTheme="minorEastAsia"/>
              <w:noProof/>
              <w:lang w:eastAsia="pl-PL"/>
            </w:rPr>
          </w:pPr>
          <w:hyperlink w:anchor="_Toc333477264" w:history="1">
            <w:r w:rsidR="00756BB1" w:rsidRPr="00F54906">
              <w:rPr>
                <w:rStyle w:val="Hipercze"/>
                <w:noProof/>
              </w:rPr>
              <w:t>3.</w:t>
            </w:r>
            <w:r w:rsidR="00756BB1">
              <w:rPr>
                <w:rFonts w:eastAsiaTheme="minorEastAsia"/>
                <w:noProof/>
                <w:lang w:eastAsia="pl-PL"/>
              </w:rPr>
              <w:tab/>
            </w:r>
            <w:r w:rsidR="00756BB1" w:rsidRPr="00F54906">
              <w:rPr>
                <w:rStyle w:val="Hipercze"/>
                <w:noProof/>
              </w:rPr>
              <w:t>Założenia Programu pilotażowego Ministerstwa Pracy i Polityki Społecznej „Młodzi na rynku pracy. Działania na rzecz zmniejszenia bezrobocia młodzieży”</w:t>
            </w:r>
            <w:r w:rsidR="00756BB1">
              <w:rPr>
                <w:noProof/>
                <w:webHidden/>
              </w:rPr>
              <w:tab/>
            </w:r>
            <w:r w:rsidR="00756BB1">
              <w:rPr>
                <w:noProof/>
                <w:webHidden/>
              </w:rPr>
              <w:fldChar w:fldCharType="begin"/>
            </w:r>
            <w:r w:rsidR="00756BB1">
              <w:rPr>
                <w:noProof/>
                <w:webHidden/>
              </w:rPr>
              <w:instrText xml:space="preserve"> PAGEREF _Toc333477264 \h </w:instrText>
            </w:r>
            <w:r w:rsidR="00756BB1">
              <w:rPr>
                <w:noProof/>
                <w:webHidden/>
              </w:rPr>
            </w:r>
            <w:r w:rsidR="00756BB1">
              <w:rPr>
                <w:noProof/>
                <w:webHidden/>
              </w:rPr>
              <w:fldChar w:fldCharType="separate"/>
            </w:r>
            <w:r>
              <w:rPr>
                <w:noProof/>
                <w:webHidden/>
              </w:rPr>
              <w:t>21</w:t>
            </w:r>
            <w:r w:rsidR="00756BB1">
              <w:rPr>
                <w:noProof/>
                <w:webHidden/>
              </w:rPr>
              <w:fldChar w:fldCharType="end"/>
            </w:r>
          </w:hyperlink>
        </w:p>
        <w:p w:rsidR="00756BB1" w:rsidRDefault="00F6087D">
          <w:pPr>
            <w:pStyle w:val="Spistreci1"/>
            <w:tabs>
              <w:tab w:val="left" w:pos="660"/>
              <w:tab w:val="right" w:leader="dot" w:pos="9062"/>
            </w:tabs>
            <w:rPr>
              <w:rFonts w:eastAsiaTheme="minorEastAsia"/>
              <w:noProof/>
              <w:lang w:eastAsia="pl-PL"/>
            </w:rPr>
          </w:pPr>
          <w:hyperlink w:anchor="_Toc333477265" w:history="1">
            <w:r w:rsidR="00756BB1" w:rsidRPr="00F54906">
              <w:rPr>
                <w:rStyle w:val="Hipercze"/>
                <w:noProof/>
              </w:rPr>
              <w:t>IV.</w:t>
            </w:r>
            <w:r w:rsidR="00756BB1">
              <w:rPr>
                <w:rFonts w:eastAsiaTheme="minorEastAsia"/>
                <w:noProof/>
                <w:lang w:eastAsia="pl-PL"/>
              </w:rPr>
              <w:tab/>
            </w:r>
            <w:r w:rsidR="00756BB1" w:rsidRPr="00F54906">
              <w:rPr>
                <w:rStyle w:val="Hipercze"/>
                <w:noProof/>
              </w:rPr>
              <w:t>Wsparcie osób bezrobotnych w ramach Programu Operacyjnego Kapitał Ludzki</w:t>
            </w:r>
            <w:r w:rsidR="00756BB1">
              <w:rPr>
                <w:noProof/>
                <w:webHidden/>
              </w:rPr>
              <w:tab/>
            </w:r>
            <w:r w:rsidR="00756BB1">
              <w:rPr>
                <w:noProof/>
                <w:webHidden/>
              </w:rPr>
              <w:fldChar w:fldCharType="begin"/>
            </w:r>
            <w:r w:rsidR="00756BB1">
              <w:rPr>
                <w:noProof/>
                <w:webHidden/>
              </w:rPr>
              <w:instrText xml:space="preserve"> PAGEREF _Toc333477265 \h </w:instrText>
            </w:r>
            <w:r w:rsidR="00756BB1">
              <w:rPr>
                <w:noProof/>
                <w:webHidden/>
              </w:rPr>
            </w:r>
            <w:r w:rsidR="00756BB1">
              <w:rPr>
                <w:noProof/>
                <w:webHidden/>
              </w:rPr>
              <w:fldChar w:fldCharType="separate"/>
            </w:r>
            <w:r>
              <w:rPr>
                <w:noProof/>
                <w:webHidden/>
              </w:rPr>
              <w:t>24</w:t>
            </w:r>
            <w:r w:rsidR="00756BB1">
              <w:rPr>
                <w:noProof/>
                <w:webHidden/>
              </w:rPr>
              <w:fldChar w:fldCharType="end"/>
            </w:r>
          </w:hyperlink>
        </w:p>
        <w:p w:rsidR="00756BB1" w:rsidRDefault="00F6087D">
          <w:pPr>
            <w:pStyle w:val="Spistreci1"/>
            <w:tabs>
              <w:tab w:val="left" w:pos="440"/>
              <w:tab w:val="right" w:leader="dot" w:pos="9062"/>
            </w:tabs>
            <w:rPr>
              <w:rFonts w:eastAsiaTheme="minorEastAsia"/>
              <w:noProof/>
              <w:lang w:eastAsia="pl-PL"/>
            </w:rPr>
          </w:pPr>
          <w:hyperlink w:anchor="_Toc333477266" w:history="1">
            <w:r w:rsidR="00756BB1" w:rsidRPr="00F54906">
              <w:rPr>
                <w:rStyle w:val="Hipercze"/>
                <w:noProof/>
              </w:rPr>
              <w:t>V.</w:t>
            </w:r>
            <w:r w:rsidR="00756BB1">
              <w:rPr>
                <w:rFonts w:eastAsiaTheme="minorEastAsia"/>
                <w:noProof/>
                <w:lang w:eastAsia="pl-PL"/>
              </w:rPr>
              <w:tab/>
            </w:r>
            <w:r w:rsidR="00756BB1" w:rsidRPr="00F54906">
              <w:rPr>
                <w:rStyle w:val="Hipercze"/>
                <w:noProof/>
              </w:rPr>
              <w:t>Realizacja programu „Solidarność pokoleń. Działania dla zwiększenia aktywności zawodowej osób w wieku 50+”</w:t>
            </w:r>
            <w:r w:rsidR="00756BB1">
              <w:rPr>
                <w:noProof/>
                <w:webHidden/>
              </w:rPr>
              <w:tab/>
            </w:r>
            <w:r w:rsidR="00756BB1">
              <w:rPr>
                <w:noProof/>
                <w:webHidden/>
              </w:rPr>
              <w:fldChar w:fldCharType="begin"/>
            </w:r>
            <w:r w:rsidR="00756BB1">
              <w:rPr>
                <w:noProof/>
                <w:webHidden/>
              </w:rPr>
              <w:instrText xml:space="preserve"> PAGEREF _Toc333477266 \h </w:instrText>
            </w:r>
            <w:r w:rsidR="00756BB1">
              <w:rPr>
                <w:noProof/>
                <w:webHidden/>
              </w:rPr>
            </w:r>
            <w:r w:rsidR="00756BB1">
              <w:rPr>
                <w:noProof/>
                <w:webHidden/>
              </w:rPr>
              <w:fldChar w:fldCharType="separate"/>
            </w:r>
            <w:r>
              <w:rPr>
                <w:noProof/>
                <w:webHidden/>
              </w:rPr>
              <w:t>27</w:t>
            </w:r>
            <w:r w:rsidR="00756BB1">
              <w:rPr>
                <w:noProof/>
                <w:webHidden/>
              </w:rPr>
              <w:fldChar w:fldCharType="end"/>
            </w:r>
          </w:hyperlink>
        </w:p>
        <w:p w:rsidR="00756BB1" w:rsidRDefault="00F6087D">
          <w:pPr>
            <w:pStyle w:val="Spistreci1"/>
            <w:tabs>
              <w:tab w:val="left" w:pos="660"/>
              <w:tab w:val="right" w:leader="dot" w:pos="9062"/>
            </w:tabs>
            <w:rPr>
              <w:rFonts w:eastAsiaTheme="minorEastAsia"/>
              <w:noProof/>
              <w:lang w:eastAsia="pl-PL"/>
            </w:rPr>
          </w:pPr>
          <w:hyperlink w:anchor="_Toc333477267" w:history="1">
            <w:r w:rsidR="00756BB1" w:rsidRPr="00F54906">
              <w:rPr>
                <w:rStyle w:val="Hipercze"/>
                <w:noProof/>
              </w:rPr>
              <w:t>VI.</w:t>
            </w:r>
            <w:r w:rsidR="00756BB1">
              <w:rPr>
                <w:rFonts w:eastAsiaTheme="minorEastAsia"/>
                <w:noProof/>
                <w:lang w:eastAsia="pl-PL"/>
              </w:rPr>
              <w:tab/>
            </w:r>
            <w:r w:rsidR="00756BB1" w:rsidRPr="00F54906">
              <w:rPr>
                <w:rStyle w:val="Hipercze"/>
                <w:noProof/>
              </w:rPr>
              <w:t>Działania Wojewódzkiego Urzędu Pracy w Poznaniu na rzecz aktywizacji zawodowej osób młodych i starszych</w:t>
            </w:r>
            <w:r w:rsidR="00756BB1">
              <w:rPr>
                <w:noProof/>
                <w:webHidden/>
              </w:rPr>
              <w:tab/>
            </w:r>
            <w:r w:rsidR="00756BB1">
              <w:rPr>
                <w:noProof/>
                <w:webHidden/>
              </w:rPr>
              <w:fldChar w:fldCharType="begin"/>
            </w:r>
            <w:r w:rsidR="00756BB1">
              <w:rPr>
                <w:noProof/>
                <w:webHidden/>
              </w:rPr>
              <w:instrText xml:space="preserve"> PAGEREF _Toc333477267 \h </w:instrText>
            </w:r>
            <w:r w:rsidR="00756BB1">
              <w:rPr>
                <w:noProof/>
                <w:webHidden/>
              </w:rPr>
            </w:r>
            <w:r w:rsidR="00756BB1">
              <w:rPr>
                <w:noProof/>
                <w:webHidden/>
              </w:rPr>
              <w:fldChar w:fldCharType="separate"/>
            </w:r>
            <w:r>
              <w:rPr>
                <w:noProof/>
                <w:webHidden/>
              </w:rPr>
              <w:t>29</w:t>
            </w:r>
            <w:r w:rsidR="00756BB1">
              <w:rPr>
                <w:noProof/>
                <w:webHidden/>
              </w:rPr>
              <w:fldChar w:fldCharType="end"/>
            </w:r>
          </w:hyperlink>
        </w:p>
        <w:p w:rsidR="00756BB1" w:rsidRDefault="00F6087D">
          <w:pPr>
            <w:pStyle w:val="Spistreci1"/>
            <w:tabs>
              <w:tab w:val="left" w:pos="660"/>
              <w:tab w:val="right" w:leader="dot" w:pos="9062"/>
            </w:tabs>
            <w:rPr>
              <w:rFonts w:eastAsiaTheme="minorEastAsia"/>
              <w:noProof/>
              <w:lang w:eastAsia="pl-PL"/>
            </w:rPr>
          </w:pPr>
          <w:hyperlink w:anchor="_Toc333477268" w:history="1">
            <w:r w:rsidR="00756BB1" w:rsidRPr="00F54906">
              <w:rPr>
                <w:rStyle w:val="Hipercze"/>
                <w:noProof/>
              </w:rPr>
              <w:t>VII.</w:t>
            </w:r>
            <w:r w:rsidR="00756BB1">
              <w:rPr>
                <w:rFonts w:eastAsiaTheme="minorEastAsia"/>
                <w:noProof/>
                <w:lang w:eastAsia="pl-PL"/>
              </w:rPr>
              <w:tab/>
            </w:r>
            <w:r w:rsidR="00756BB1" w:rsidRPr="00F54906">
              <w:rPr>
                <w:rStyle w:val="Hipercze"/>
                <w:noProof/>
              </w:rPr>
              <w:t>Zakończenie</w:t>
            </w:r>
            <w:r w:rsidR="00756BB1">
              <w:rPr>
                <w:noProof/>
                <w:webHidden/>
              </w:rPr>
              <w:tab/>
            </w:r>
            <w:r w:rsidR="00756BB1">
              <w:rPr>
                <w:noProof/>
                <w:webHidden/>
              </w:rPr>
              <w:fldChar w:fldCharType="begin"/>
            </w:r>
            <w:r w:rsidR="00756BB1">
              <w:rPr>
                <w:noProof/>
                <w:webHidden/>
              </w:rPr>
              <w:instrText xml:space="preserve"> PAGEREF _Toc333477268 \h </w:instrText>
            </w:r>
            <w:r w:rsidR="00756BB1">
              <w:rPr>
                <w:noProof/>
                <w:webHidden/>
              </w:rPr>
            </w:r>
            <w:r w:rsidR="00756BB1">
              <w:rPr>
                <w:noProof/>
                <w:webHidden/>
              </w:rPr>
              <w:fldChar w:fldCharType="separate"/>
            </w:r>
            <w:r>
              <w:rPr>
                <w:noProof/>
                <w:webHidden/>
              </w:rPr>
              <w:t>31</w:t>
            </w:r>
            <w:r w:rsidR="00756BB1">
              <w:rPr>
                <w:noProof/>
                <w:webHidden/>
              </w:rPr>
              <w:fldChar w:fldCharType="end"/>
            </w:r>
          </w:hyperlink>
        </w:p>
        <w:p w:rsidR="009B34F2" w:rsidRDefault="009B34F2" w:rsidP="00DF09E9">
          <w:pPr>
            <w:spacing w:after="0" w:line="360" w:lineRule="auto"/>
          </w:pPr>
          <w:r w:rsidRPr="009753C4">
            <w:rPr>
              <w:b/>
              <w:bCs/>
              <w:color w:val="4F81BD" w:themeColor="accent1"/>
            </w:rPr>
            <w:fldChar w:fldCharType="end"/>
          </w:r>
        </w:p>
      </w:sdtContent>
    </w:sdt>
    <w:p w:rsidR="009753C4" w:rsidRDefault="009753C4" w:rsidP="00DF09E9">
      <w:pPr>
        <w:spacing w:after="0" w:line="360" w:lineRule="auto"/>
        <w:rPr>
          <w:rFonts w:asciiTheme="majorHAnsi" w:eastAsiaTheme="majorEastAsia" w:hAnsiTheme="majorHAnsi" w:cstheme="majorBidi"/>
          <w:b/>
          <w:bCs/>
          <w:color w:val="4F81BD" w:themeColor="accent1"/>
          <w:sz w:val="26"/>
          <w:szCs w:val="26"/>
        </w:rPr>
      </w:pPr>
      <w:r>
        <w:br w:type="page"/>
      </w:r>
      <w:bookmarkStart w:id="0" w:name="_GoBack"/>
      <w:bookmarkEnd w:id="0"/>
    </w:p>
    <w:p w:rsidR="007E709D" w:rsidRDefault="007E709D" w:rsidP="00730B52">
      <w:pPr>
        <w:pStyle w:val="Nagwek1"/>
        <w:numPr>
          <w:ilvl w:val="0"/>
          <w:numId w:val="5"/>
        </w:numPr>
        <w:spacing w:before="0" w:line="360" w:lineRule="auto"/>
        <w:ind w:left="567" w:hanging="567"/>
      </w:pPr>
      <w:bookmarkStart w:id="1" w:name="_Toc333477250"/>
      <w:r>
        <w:lastRenderedPageBreak/>
        <w:t>Wstęp</w:t>
      </w:r>
      <w:bookmarkEnd w:id="1"/>
    </w:p>
    <w:p w:rsidR="009753C4" w:rsidRDefault="009753C4" w:rsidP="00DF09E9">
      <w:pPr>
        <w:spacing w:after="0" w:line="360" w:lineRule="auto"/>
      </w:pPr>
    </w:p>
    <w:p w:rsidR="00360213" w:rsidRDefault="00DC7941" w:rsidP="00DC794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Niniejsza analiza, przygotowana przez Wojewódzki Urząd Pracy w Poznaniu, prezentuje dane statystyczne oraz informacje na temat wsparcia udzielanego osobom bezrobotnym w naszym regionie</w:t>
      </w:r>
      <w:r w:rsidR="0014015B">
        <w:rPr>
          <w:rFonts w:ascii="Times New Roman" w:hAnsi="Times New Roman" w:cs="Times New Roman"/>
          <w:sz w:val="24"/>
          <w:szCs w:val="24"/>
        </w:rPr>
        <w:t>, w latach 2009-2011</w:t>
      </w:r>
      <w:r>
        <w:rPr>
          <w:rFonts w:ascii="Times New Roman" w:hAnsi="Times New Roman" w:cs="Times New Roman"/>
          <w:sz w:val="24"/>
          <w:szCs w:val="24"/>
        </w:rPr>
        <w:t xml:space="preserve">. Analiza skupia się na dwóch grupach osób bezrobotnych: młodych, poniżej 25-30 roku życia oraz starszych, powyżej 45-50 roku życia. </w:t>
      </w:r>
    </w:p>
    <w:p w:rsidR="00226AED" w:rsidRDefault="00226AED" w:rsidP="00DC794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Podstawę niniejszej analizy stanowią s</w:t>
      </w:r>
      <w:r w:rsidR="00BE2C17" w:rsidRPr="00BE2C17">
        <w:rPr>
          <w:rFonts w:ascii="Times New Roman" w:hAnsi="Times New Roman" w:cs="Times New Roman"/>
          <w:sz w:val="24"/>
          <w:szCs w:val="24"/>
        </w:rPr>
        <w:t xml:space="preserve">tatystyki </w:t>
      </w:r>
      <w:r>
        <w:rPr>
          <w:rFonts w:ascii="Times New Roman" w:hAnsi="Times New Roman" w:cs="Times New Roman"/>
          <w:sz w:val="24"/>
          <w:szCs w:val="24"/>
        </w:rPr>
        <w:t xml:space="preserve">prowadzone przez WUP </w:t>
      </w:r>
      <w:r>
        <w:rPr>
          <w:rFonts w:ascii="Times New Roman" w:hAnsi="Times New Roman" w:cs="Times New Roman"/>
          <w:sz w:val="24"/>
          <w:szCs w:val="24"/>
        </w:rPr>
        <w:br/>
        <w:t>w Poznaniu,</w:t>
      </w:r>
      <w:r w:rsidRPr="00BE2C17">
        <w:rPr>
          <w:rFonts w:ascii="Times New Roman" w:hAnsi="Times New Roman" w:cs="Times New Roman"/>
          <w:sz w:val="24"/>
          <w:szCs w:val="24"/>
        </w:rPr>
        <w:t xml:space="preserve"> </w:t>
      </w:r>
      <w:r w:rsidR="00BE2C17" w:rsidRPr="00BE2C17">
        <w:rPr>
          <w:rFonts w:ascii="Times New Roman" w:hAnsi="Times New Roman" w:cs="Times New Roman"/>
          <w:sz w:val="24"/>
          <w:szCs w:val="24"/>
        </w:rPr>
        <w:t>dotyczą</w:t>
      </w:r>
      <w:r>
        <w:rPr>
          <w:rFonts w:ascii="Times New Roman" w:hAnsi="Times New Roman" w:cs="Times New Roman"/>
          <w:sz w:val="24"/>
          <w:szCs w:val="24"/>
        </w:rPr>
        <w:t>ce</w:t>
      </w:r>
      <w:r w:rsidR="00BE2C17" w:rsidRPr="00BE2C17">
        <w:rPr>
          <w:rFonts w:ascii="Times New Roman" w:hAnsi="Times New Roman" w:cs="Times New Roman"/>
          <w:sz w:val="24"/>
          <w:szCs w:val="24"/>
        </w:rPr>
        <w:t xml:space="preserve"> grup bezrobotnych do 25 i powyżej 50 roku życia,</w:t>
      </w:r>
      <w:r w:rsidR="00DC7941">
        <w:rPr>
          <w:rFonts w:ascii="Times New Roman" w:hAnsi="Times New Roman" w:cs="Times New Roman"/>
          <w:sz w:val="24"/>
          <w:szCs w:val="24"/>
        </w:rPr>
        <w:t xml:space="preserve"> tj. bezrobotnych </w:t>
      </w:r>
      <w:r>
        <w:rPr>
          <w:rFonts w:ascii="Times New Roman" w:hAnsi="Times New Roman" w:cs="Times New Roman"/>
          <w:sz w:val="24"/>
          <w:szCs w:val="24"/>
        </w:rPr>
        <w:br/>
      </w:r>
      <w:r w:rsidR="00DC7941">
        <w:rPr>
          <w:rFonts w:ascii="Times New Roman" w:hAnsi="Times New Roman" w:cs="Times New Roman"/>
          <w:sz w:val="24"/>
          <w:szCs w:val="24"/>
        </w:rPr>
        <w:t>w szcz</w:t>
      </w:r>
      <w:r w:rsidR="00B05FE2">
        <w:rPr>
          <w:rFonts w:ascii="Times New Roman" w:hAnsi="Times New Roman" w:cs="Times New Roman"/>
          <w:sz w:val="24"/>
          <w:szCs w:val="24"/>
        </w:rPr>
        <w:t>ególnej sytuacji na rynku pracy.</w:t>
      </w:r>
      <w:r>
        <w:rPr>
          <w:rFonts w:ascii="Times New Roman" w:hAnsi="Times New Roman" w:cs="Times New Roman"/>
          <w:sz w:val="24"/>
          <w:szCs w:val="24"/>
        </w:rPr>
        <w:t xml:space="preserve"> </w:t>
      </w:r>
    </w:p>
    <w:p w:rsidR="009753C4" w:rsidRDefault="00226AED" w:rsidP="00DC794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Uwzględniono także informacje dotyczące wsparcia osób bezrobotnych w ramach r</w:t>
      </w:r>
      <w:r w:rsidR="00200EAB">
        <w:rPr>
          <w:rFonts w:ascii="Times New Roman" w:hAnsi="Times New Roman" w:cs="Times New Roman"/>
          <w:sz w:val="24"/>
          <w:szCs w:val="24"/>
        </w:rPr>
        <w:t>ządow</w:t>
      </w:r>
      <w:r>
        <w:rPr>
          <w:rFonts w:ascii="Times New Roman" w:hAnsi="Times New Roman" w:cs="Times New Roman"/>
          <w:sz w:val="24"/>
          <w:szCs w:val="24"/>
        </w:rPr>
        <w:t>ych</w:t>
      </w:r>
      <w:r w:rsidR="00200EAB">
        <w:rPr>
          <w:rFonts w:ascii="Times New Roman" w:hAnsi="Times New Roman" w:cs="Times New Roman"/>
          <w:sz w:val="24"/>
          <w:szCs w:val="24"/>
        </w:rPr>
        <w:t xml:space="preserve"> p</w:t>
      </w:r>
      <w:r w:rsidR="00BE2C17" w:rsidRPr="00BE2C17">
        <w:rPr>
          <w:rFonts w:ascii="Times New Roman" w:hAnsi="Times New Roman" w:cs="Times New Roman"/>
          <w:sz w:val="24"/>
          <w:szCs w:val="24"/>
        </w:rPr>
        <w:t>rogram</w:t>
      </w:r>
      <w:r>
        <w:rPr>
          <w:rFonts w:ascii="Times New Roman" w:hAnsi="Times New Roman" w:cs="Times New Roman"/>
          <w:sz w:val="24"/>
          <w:szCs w:val="24"/>
        </w:rPr>
        <w:t>ów</w:t>
      </w:r>
      <w:r w:rsidR="00BE2C17" w:rsidRPr="00BE2C17">
        <w:rPr>
          <w:rFonts w:ascii="Times New Roman" w:hAnsi="Times New Roman" w:cs="Times New Roman"/>
          <w:sz w:val="24"/>
          <w:szCs w:val="24"/>
        </w:rPr>
        <w:t xml:space="preserve"> </w:t>
      </w:r>
      <w:r w:rsidR="00DC7941">
        <w:rPr>
          <w:rFonts w:ascii="Times New Roman" w:hAnsi="Times New Roman" w:cs="Times New Roman"/>
          <w:sz w:val="24"/>
          <w:szCs w:val="24"/>
        </w:rPr>
        <w:t>finansowan</w:t>
      </w:r>
      <w:r>
        <w:rPr>
          <w:rFonts w:ascii="Times New Roman" w:hAnsi="Times New Roman" w:cs="Times New Roman"/>
          <w:sz w:val="24"/>
          <w:szCs w:val="24"/>
        </w:rPr>
        <w:t>ych</w:t>
      </w:r>
      <w:r w:rsidR="00DC7941">
        <w:rPr>
          <w:rFonts w:ascii="Times New Roman" w:hAnsi="Times New Roman" w:cs="Times New Roman"/>
          <w:sz w:val="24"/>
          <w:szCs w:val="24"/>
        </w:rPr>
        <w:t xml:space="preserve"> ze środków </w:t>
      </w:r>
      <w:r w:rsidR="00BE2C17" w:rsidRPr="00BE2C17">
        <w:rPr>
          <w:rFonts w:ascii="Times New Roman" w:hAnsi="Times New Roman" w:cs="Times New Roman"/>
          <w:sz w:val="24"/>
          <w:szCs w:val="24"/>
        </w:rPr>
        <w:t>F</w:t>
      </w:r>
      <w:r w:rsidR="00DC7941">
        <w:rPr>
          <w:rFonts w:ascii="Times New Roman" w:hAnsi="Times New Roman" w:cs="Times New Roman"/>
          <w:sz w:val="24"/>
          <w:szCs w:val="24"/>
        </w:rPr>
        <w:t xml:space="preserve">unduszu </w:t>
      </w:r>
      <w:r w:rsidR="00BE2C17" w:rsidRPr="00BE2C17">
        <w:rPr>
          <w:rFonts w:ascii="Times New Roman" w:hAnsi="Times New Roman" w:cs="Times New Roman"/>
          <w:sz w:val="24"/>
          <w:szCs w:val="24"/>
        </w:rPr>
        <w:t>P</w:t>
      </w:r>
      <w:r w:rsidR="00DC7941">
        <w:rPr>
          <w:rFonts w:ascii="Times New Roman" w:hAnsi="Times New Roman" w:cs="Times New Roman"/>
          <w:sz w:val="24"/>
          <w:szCs w:val="24"/>
        </w:rPr>
        <w:t>racy</w:t>
      </w:r>
      <w:r>
        <w:rPr>
          <w:rFonts w:ascii="Times New Roman" w:hAnsi="Times New Roman" w:cs="Times New Roman"/>
          <w:sz w:val="24"/>
          <w:szCs w:val="24"/>
        </w:rPr>
        <w:t>,</w:t>
      </w:r>
      <w:r w:rsidR="00BE2C17" w:rsidRPr="00BE2C17">
        <w:rPr>
          <w:rFonts w:ascii="Times New Roman" w:hAnsi="Times New Roman" w:cs="Times New Roman"/>
          <w:sz w:val="24"/>
          <w:szCs w:val="24"/>
        </w:rPr>
        <w:t xml:space="preserve"> </w:t>
      </w:r>
      <w:r>
        <w:rPr>
          <w:rFonts w:ascii="Times New Roman" w:hAnsi="Times New Roman" w:cs="Times New Roman"/>
          <w:sz w:val="24"/>
          <w:szCs w:val="24"/>
        </w:rPr>
        <w:t>s</w:t>
      </w:r>
      <w:r w:rsidR="00B05FE2" w:rsidRPr="00BE2C17">
        <w:rPr>
          <w:rFonts w:ascii="Times New Roman" w:hAnsi="Times New Roman" w:cs="Times New Roman"/>
          <w:sz w:val="24"/>
          <w:szCs w:val="24"/>
        </w:rPr>
        <w:t>kierowan</w:t>
      </w:r>
      <w:r>
        <w:rPr>
          <w:rFonts w:ascii="Times New Roman" w:hAnsi="Times New Roman" w:cs="Times New Roman"/>
          <w:sz w:val="24"/>
          <w:szCs w:val="24"/>
        </w:rPr>
        <w:t>ych</w:t>
      </w:r>
      <w:r w:rsidR="00B05FE2" w:rsidRPr="00BE2C17">
        <w:rPr>
          <w:rFonts w:ascii="Times New Roman" w:hAnsi="Times New Roman" w:cs="Times New Roman"/>
          <w:sz w:val="24"/>
          <w:szCs w:val="24"/>
        </w:rPr>
        <w:t xml:space="preserve"> do osób poniżej 30 i powyżej 45</w:t>
      </w:r>
      <w:r w:rsidR="00B05FE2">
        <w:rPr>
          <w:rFonts w:ascii="Times New Roman" w:hAnsi="Times New Roman" w:cs="Times New Roman"/>
          <w:sz w:val="24"/>
          <w:szCs w:val="24"/>
        </w:rPr>
        <w:t>/</w:t>
      </w:r>
      <w:r w:rsidR="00B05FE2" w:rsidRPr="00BE2C17">
        <w:rPr>
          <w:rFonts w:ascii="Times New Roman" w:hAnsi="Times New Roman" w:cs="Times New Roman"/>
          <w:sz w:val="24"/>
          <w:szCs w:val="24"/>
        </w:rPr>
        <w:t>50 roku życia</w:t>
      </w:r>
      <w:r w:rsidR="00200EAB">
        <w:rPr>
          <w:rFonts w:ascii="Times New Roman" w:hAnsi="Times New Roman" w:cs="Times New Roman"/>
          <w:sz w:val="24"/>
          <w:szCs w:val="24"/>
        </w:rPr>
        <w:t>.</w:t>
      </w:r>
      <w:r w:rsidR="00B05FE2">
        <w:rPr>
          <w:rFonts w:ascii="Times New Roman" w:hAnsi="Times New Roman" w:cs="Times New Roman"/>
          <w:sz w:val="24"/>
          <w:szCs w:val="24"/>
        </w:rPr>
        <w:t xml:space="preserve"> </w:t>
      </w:r>
      <w:r>
        <w:rPr>
          <w:rFonts w:ascii="Times New Roman" w:hAnsi="Times New Roman" w:cs="Times New Roman"/>
          <w:sz w:val="24"/>
          <w:szCs w:val="24"/>
        </w:rPr>
        <w:t xml:space="preserve">Dla celów niniejszej analizy wygenerowano </w:t>
      </w:r>
      <w:r w:rsidR="0093103A">
        <w:rPr>
          <w:rFonts w:ascii="Times New Roman" w:hAnsi="Times New Roman" w:cs="Times New Roman"/>
          <w:sz w:val="24"/>
          <w:szCs w:val="24"/>
        </w:rPr>
        <w:t>także dane dotyczące osób do 30</w:t>
      </w:r>
      <w:r>
        <w:rPr>
          <w:rFonts w:ascii="Times New Roman" w:hAnsi="Times New Roman" w:cs="Times New Roman"/>
          <w:sz w:val="24"/>
          <w:szCs w:val="24"/>
        </w:rPr>
        <w:t xml:space="preserve"> oraz powyżej 45 roku życia, będących  beneficjentami </w:t>
      </w:r>
      <w:r w:rsidR="00DC7941">
        <w:rPr>
          <w:rFonts w:ascii="Times New Roman" w:hAnsi="Times New Roman" w:cs="Times New Roman"/>
          <w:sz w:val="24"/>
          <w:szCs w:val="24"/>
        </w:rPr>
        <w:t>proj</w:t>
      </w:r>
      <w:r w:rsidR="00B05FE2">
        <w:rPr>
          <w:rFonts w:ascii="Times New Roman" w:hAnsi="Times New Roman" w:cs="Times New Roman"/>
          <w:sz w:val="24"/>
          <w:szCs w:val="24"/>
        </w:rPr>
        <w:t>ektów</w:t>
      </w:r>
      <w:r w:rsidR="00DC7941">
        <w:rPr>
          <w:rFonts w:ascii="Times New Roman" w:hAnsi="Times New Roman" w:cs="Times New Roman"/>
          <w:sz w:val="24"/>
          <w:szCs w:val="24"/>
        </w:rPr>
        <w:t xml:space="preserve"> realizowan</w:t>
      </w:r>
      <w:r w:rsidR="00B05FE2">
        <w:rPr>
          <w:rFonts w:ascii="Times New Roman" w:hAnsi="Times New Roman" w:cs="Times New Roman"/>
          <w:sz w:val="24"/>
          <w:szCs w:val="24"/>
        </w:rPr>
        <w:t>ych</w:t>
      </w:r>
      <w:r w:rsidR="00DC7941">
        <w:rPr>
          <w:rFonts w:ascii="Times New Roman" w:hAnsi="Times New Roman" w:cs="Times New Roman"/>
          <w:sz w:val="24"/>
          <w:szCs w:val="24"/>
        </w:rPr>
        <w:t xml:space="preserve"> w ramach </w:t>
      </w:r>
      <w:r w:rsidR="00BE2C17" w:rsidRPr="00BE2C17">
        <w:rPr>
          <w:rFonts w:ascii="Times New Roman" w:hAnsi="Times New Roman" w:cs="Times New Roman"/>
          <w:sz w:val="24"/>
          <w:szCs w:val="24"/>
        </w:rPr>
        <w:t>P</w:t>
      </w:r>
      <w:r w:rsidR="00DC7941">
        <w:rPr>
          <w:rFonts w:ascii="Times New Roman" w:hAnsi="Times New Roman" w:cs="Times New Roman"/>
          <w:sz w:val="24"/>
          <w:szCs w:val="24"/>
        </w:rPr>
        <w:t xml:space="preserve">rogramu </w:t>
      </w:r>
      <w:r w:rsidR="00BE2C17" w:rsidRPr="00BE2C17">
        <w:rPr>
          <w:rFonts w:ascii="Times New Roman" w:hAnsi="Times New Roman" w:cs="Times New Roman"/>
          <w:sz w:val="24"/>
          <w:szCs w:val="24"/>
        </w:rPr>
        <w:t>O</w:t>
      </w:r>
      <w:r w:rsidR="00DC7941">
        <w:rPr>
          <w:rFonts w:ascii="Times New Roman" w:hAnsi="Times New Roman" w:cs="Times New Roman"/>
          <w:sz w:val="24"/>
          <w:szCs w:val="24"/>
        </w:rPr>
        <w:t>peracyjnego</w:t>
      </w:r>
      <w:r w:rsidR="00BE2C17" w:rsidRPr="00BE2C17">
        <w:rPr>
          <w:rFonts w:ascii="Times New Roman" w:hAnsi="Times New Roman" w:cs="Times New Roman"/>
          <w:sz w:val="24"/>
          <w:szCs w:val="24"/>
        </w:rPr>
        <w:t xml:space="preserve"> K</w:t>
      </w:r>
      <w:r w:rsidR="00DC7941">
        <w:rPr>
          <w:rFonts w:ascii="Times New Roman" w:hAnsi="Times New Roman" w:cs="Times New Roman"/>
          <w:sz w:val="24"/>
          <w:szCs w:val="24"/>
        </w:rPr>
        <w:t xml:space="preserve">apitał </w:t>
      </w:r>
      <w:r w:rsidR="00BE2C17" w:rsidRPr="00BE2C17">
        <w:rPr>
          <w:rFonts w:ascii="Times New Roman" w:hAnsi="Times New Roman" w:cs="Times New Roman"/>
          <w:sz w:val="24"/>
          <w:szCs w:val="24"/>
        </w:rPr>
        <w:t>L</w:t>
      </w:r>
      <w:r>
        <w:rPr>
          <w:rFonts w:ascii="Times New Roman" w:hAnsi="Times New Roman" w:cs="Times New Roman"/>
          <w:sz w:val="24"/>
          <w:szCs w:val="24"/>
        </w:rPr>
        <w:t>udzki.</w:t>
      </w:r>
      <w:r w:rsidR="00B45008">
        <w:rPr>
          <w:rFonts w:ascii="Times New Roman" w:hAnsi="Times New Roman" w:cs="Times New Roman"/>
          <w:sz w:val="24"/>
          <w:szCs w:val="24"/>
        </w:rPr>
        <w:t xml:space="preserve"> Analiza zawiera </w:t>
      </w:r>
      <w:r w:rsidR="0072429A">
        <w:rPr>
          <w:rFonts w:ascii="Times New Roman" w:hAnsi="Times New Roman" w:cs="Times New Roman"/>
          <w:sz w:val="24"/>
          <w:szCs w:val="24"/>
        </w:rPr>
        <w:t>również</w:t>
      </w:r>
      <w:r w:rsidR="00B45008">
        <w:rPr>
          <w:rFonts w:ascii="Times New Roman" w:hAnsi="Times New Roman" w:cs="Times New Roman"/>
          <w:sz w:val="24"/>
          <w:szCs w:val="24"/>
        </w:rPr>
        <w:t xml:space="preserve"> informacje dotyczące działań realizowanych na rzecz tych grup przez WUP w Poznaniu.</w:t>
      </w:r>
    </w:p>
    <w:p w:rsidR="005A60CB" w:rsidRPr="005A60CB" w:rsidRDefault="00392DF8" w:rsidP="005A60C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Wybór wskazanych powyżej grup bezrobotnych podyktowany był ich trudną sytuacją na rynku pracy. </w:t>
      </w:r>
      <w:r w:rsidR="005A60CB" w:rsidRPr="005A60CB">
        <w:rPr>
          <w:rFonts w:ascii="Times New Roman" w:hAnsi="Times New Roman" w:cs="Times New Roman"/>
          <w:sz w:val="24"/>
          <w:szCs w:val="24"/>
        </w:rPr>
        <w:t>W Polsc</w:t>
      </w:r>
      <w:r w:rsidR="005A60CB">
        <w:rPr>
          <w:rFonts w:ascii="Times New Roman" w:hAnsi="Times New Roman" w:cs="Times New Roman"/>
          <w:sz w:val="24"/>
          <w:szCs w:val="24"/>
        </w:rPr>
        <w:t>e wiek pracownika nie jest cechą oboję</w:t>
      </w:r>
      <w:r w:rsidR="005A60CB" w:rsidRPr="005A60CB">
        <w:rPr>
          <w:rFonts w:ascii="Times New Roman" w:hAnsi="Times New Roman" w:cs="Times New Roman"/>
          <w:sz w:val="24"/>
          <w:szCs w:val="24"/>
        </w:rPr>
        <w:t>tn</w:t>
      </w:r>
      <w:r w:rsidR="005A60CB">
        <w:rPr>
          <w:rFonts w:ascii="Times New Roman" w:hAnsi="Times New Roman" w:cs="Times New Roman"/>
          <w:sz w:val="24"/>
          <w:szCs w:val="24"/>
        </w:rPr>
        <w:t>ą</w:t>
      </w:r>
      <w:r w:rsidR="005A60CB" w:rsidRPr="005A60CB">
        <w:rPr>
          <w:rFonts w:ascii="Times New Roman" w:hAnsi="Times New Roman" w:cs="Times New Roman"/>
          <w:sz w:val="24"/>
          <w:szCs w:val="24"/>
        </w:rPr>
        <w:t xml:space="preserve"> w osi</w:t>
      </w:r>
      <w:r w:rsidR="005A60CB">
        <w:rPr>
          <w:rFonts w:ascii="Times New Roman" w:hAnsi="Times New Roman" w:cs="Times New Roman"/>
          <w:sz w:val="24"/>
          <w:szCs w:val="24"/>
        </w:rPr>
        <w:t>ą</w:t>
      </w:r>
      <w:r w:rsidR="005A60CB" w:rsidRPr="005A60CB">
        <w:rPr>
          <w:rFonts w:ascii="Times New Roman" w:hAnsi="Times New Roman" w:cs="Times New Roman"/>
          <w:sz w:val="24"/>
          <w:szCs w:val="24"/>
        </w:rPr>
        <w:t>ganiu dobrej pozycji</w:t>
      </w:r>
    </w:p>
    <w:p w:rsidR="00392DF8" w:rsidRDefault="005A60CB" w:rsidP="005A60CB">
      <w:pPr>
        <w:spacing w:after="0" w:line="360" w:lineRule="auto"/>
        <w:jc w:val="both"/>
        <w:rPr>
          <w:rFonts w:ascii="Times New Roman" w:hAnsi="Times New Roman" w:cs="Times New Roman"/>
          <w:sz w:val="24"/>
          <w:szCs w:val="24"/>
        </w:rPr>
      </w:pPr>
      <w:r w:rsidRPr="005A60CB">
        <w:rPr>
          <w:rFonts w:ascii="Times New Roman" w:hAnsi="Times New Roman" w:cs="Times New Roman"/>
          <w:sz w:val="24"/>
          <w:szCs w:val="24"/>
        </w:rPr>
        <w:t>zawodowej.</w:t>
      </w:r>
      <w:r>
        <w:rPr>
          <w:rFonts w:ascii="Times New Roman" w:hAnsi="Times New Roman" w:cs="Times New Roman"/>
          <w:sz w:val="24"/>
          <w:szCs w:val="24"/>
        </w:rPr>
        <w:t xml:space="preserve"> </w:t>
      </w:r>
      <w:r w:rsidR="00392DF8">
        <w:rPr>
          <w:rFonts w:ascii="Times New Roman" w:hAnsi="Times New Roman" w:cs="Times New Roman"/>
          <w:sz w:val="24"/>
          <w:szCs w:val="24"/>
        </w:rPr>
        <w:t xml:space="preserve">Zarówno </w:t>
      </w:r>
      <w:r w:rsidR="00F80576">
        <w:rPr>
          <w:rFonts w:ascii="Times New Roman" w:hAnsi="Times New Roman" w:cs="Times New Roman"/>
          <w:sz w:val="24"/>
          <w:szCs w:val="24"/>
        </w:rPr>
        <w:t xml:space="preserve">osoby młode, jak i starsze, borykają się ze znacznymi problemami </w:t>
      </w:r>
      <w:r w:rsidR="00392DF8">
        <w:rPr>
          <w:rFonts w:ascii="Times New Roman" w:hAnsi="Times New Roman" w:cs="Times New Roman"/>
          <w:sz w:val="24"/>
          <w:szCs w:val="24"/>
        </w:rPr>
        <w:t>dotyczącymi znalezienia</w:t>
      </w:r>
      <w:r>
        <w:rPr>
          <w:rFonts w:ascii="Times New Roman" w:hAnsi="Times New Roman" w:cs="Times New Roman"/>
          <w:sz w:val="24"/>
          <w:szCs w:val="24"/>
        </w:rPr>
        <w:t>,</w:t>
      </w:r>
      <w:r w:rsidR="00392DF8">
        <w:rPr>
          <w:rFonts w:ascii="Times New Roman" w:hAnsi="Times New Roman" w:cs="Times New Roman"/>
          <w:sz w:val="24"/>
          <w:szCs w:val="24"/>
        </w:rPr>
        <w:t xml:space="preserve"> bądź utrzymania zatrudniania</w:t>
      </w:r>
      <w:r w:rsidR="00A47131">
        <w:rPr>
          <w:rFonts w:ascii="Times New Roman" w:hAnsi="Times New Roman" w:cs="Times New Roman"/>
          <w:sz w:val="24"/>
          <w:szCs w:val="24"/>
        </w:rPr>
        <w:t xml:space="preserve">, </w:t>
      </w:r>
      <w:r w:rsidR="00392DF8">
        <w:rPr>
          <w:rFonts w:ascii="Times New Roman" w:hAnsi="Times New Roman" w:cs="Times New Roman"/>
          <w:sz w:val="24"/>
          <w:szCs w:val="24"/>
        </w:rPr>
        <w:t>czego odzwierciedleniem są niezmiennie od kilku lat wysokie wartości bezrobocia wśród tych grup.</w:t>
      </w:r>
      <w:r>
        <w:rPr>
          <w:rFonts w:ascii="Times New Roman" w:hAnsi="Times New Roman" w:cs="Times New Roman"/>
          <w:sz w:val="24"/>
          <w:szCs w:val="24"/>
        </w:rPr>
        <w:t xml:space="preserve"> Problemy osób młodych wynikają głównie z braku doświadczenia, a osób starszych z faktu, że są mniej energiczne niż</w:t>
      </w:r>
      <w:r w:rsidRPr="005A60CB">
        <w:rPr>
          <w:rFonts w:ascii="Times New Roman" w:hAnsi="Times New Roman" w:cs="Times New Roman"/>
          <w:sz w:val="24"/>
          <w:szCs w:val="24"/>
        </w:rPr>
        <w:t xml:space="preserve"> kiedy</w:t>
      </w:r>
      <w:r>
        <w:rPr>
          <w:rFonts w:ascii="Times New Roman" w:hAnsi="Times New Roman" w:cs="Times New Roman"/>
          <w:sz w:val="24"/>
          <w:szCs w:val="24"/>
        </w:rPr>
        <w:t>ś</w:t>
      </w:r>
      <w:r w:rsidRPr="005A60CB">
        <w:rPr>
          <w:rFonts w:ascii="Times New Roman" w:hAnsi="Times New Roman" w:cs="Times New Roman"/>
          <w:sz w:val="24"/>
          <w:szCs w:val="24"/>
        </w:rPr>
        <w:t>, a to - zwłaszcza w</w:t>
      </w:r>
      <w:r>
        <w:rPr>
          <w:rFonts w:ascii="Times New Roman" w:hAnsi="Times New Roman" w:cs="Times New Roman"/>
          <w:sz w:val="24"/>
          <w:szCs w:val="24"/>
        </w:rPr>
        <w:t xml:space="preserve"> </w:t>
      </w:r>
      <w:r w:rsidRPr="005A60CB">
        <w:rPr>
          <w:rFonts w:ascii="Times New Roman" w:hAnsi="Times New Roman" w:cs="Times New Roman"/>
          <w:sz w:val="24"/>
          <w:szCs w:val="24"/>
        </w:rPr>
        <w:t>przypadku stanowisk produkcyjnych - skutkuj</w:t>
      </w:r>
      <w:r>
        <w:rPr>
          <w:rFonts w:ascii="Times New Roman" w:hAnsi="Times New Roman" w:cs="Times New Roman"/>
          <w:sz w:val="24"/>
          <w:szCs w:val="24"/>
        </w:rPr>
        <w:t>e niż</w:t>
      </w:r>
      <w:r w:rsidRPr="005A60CB">
        <w:rPr>
          <w:rFonts w:ascii="Times New Roman" w:hAnsi="Times New Roman" w:cs="Times New Roman"/>
          <w:sz w:val="24"/>
          <w:szCs w:val="24"/>
        </w:rPr>
        <w:t>sz</w:t>
      </w:r>
      <w:r>
        <w:rPr>
          <w:rFonts w:ascii="Times New Roman" w:hAnsi="Times New Roman" w:cs="Times New Roman"/>
          <w:sz w:val="24"/>
          <w:szCs w:val="24"/>
        </w:rPr>
        <w:t xml:space="preserve">ą </w:t>
      </w:r>
      <w:r w:rsidRPr="005A60CB">
        <w:rPr>
          <w:rFonts w:ascii="Times New Roman" w:hAnsi="Times New Roman" w:cs="Times New Roman"/>
          <w:sz w:val="24"/>
          <w:szCs w:val="24"/>
        </w:rPr>
        <w:t>ich wydajno</w:t>
      </w:r>
      <w:r>
        <w:rPr>
          <w:rFonts w:ascii="Times New Roman" w:hAnsi="Times New Roman" w:cs="Times New Roman"/>
          <w:sz w:val="24"/>
          <w:szCs w:val="24"/>
        </w:rPr>
        <w:t>ś</w:t>
      </w:r>
      <w:r w:rsidRPr="005A60CB">
        <w:rPr>
          <w:rFonts w:ascii="Times New Roman" w:hAnsi="Times New Roman" w:cs="Times New Roman"/>
          <w:sz w:val="24"/>
          <w:szCs w:val="24"/>
        </w:rPr>
        <w:t>ci</w:t>
      </w:r>
      <w:r>
        <w:rPr>
          <w:rFonts w:ascii="Times New Roman" w:hAnsi="Times New Roman" w:cs="Times New Roman"/>
          <w:sz w:val="24"/>
          <w:szCs w:val="24"/>
        </w:rPr>
        <w:t>ą</w:t>
      </w:r>
      <w:r w:rsidRPr="005A60CB">
        <w:rPr>
          <w:rFonts w:ascii="Times New Roman" w:hAnsi="Times New Roman" w:cs="Times New Roman"/>
          <w:sz w:val="24"/>
          <w:szCs w:val="24"/>
        </w:rPr>
        <w:t>.</w:t>
      </w:r>
      <w:r>
        <w:rPr>
          <w:rFonts w:ascii="Times New Roman" w:hAnsi="Times New Roman" w:cs="Times New Roman"/>
          <w:sz w:val="24"/>
          <w:szCs w:val="24"/>
        </w:rPr>
        <w:t xml:space="preserve"> Wciąż jeszcze w</w:t>
      </w:r>
      <w:r w:rsidRPr="005A60CB">
        <w:rPr>
          <w:rFonts w:ascii="Times New Roman" w:hAnsi="Times New Roman" w:cs="Times New Roman"/>
          <w:sz w:val="24"/>
          <w:szCs w:val="24"/>
        </w:rPr>
        <w:t>ielu pracodawców nie dostrzega korzy</w:t>
      </w:r>
      <w:r>
        <w:rPr>
          <w:rFonts w:ascii="Times New Roman" w:hAnsi="Times New Roman" w:cs="Times New Roman"/>
          <w:sz w:val="24"/>
          <w:szCs w:val="24"/>
        </w:rPr>
        <w:t>ści płyną</w:t>
      </w:r>
      <w:r w:rsidRPr="005A60CB">
        <w:rPr>
          <w:rFonts w:ascii="Times New Roman" w:hAnsi="Times New Roman" w:cs="Times New Roman"/>
          <w:sz w:val="24"/>
          <w:szCs w:val="24"/>
        </w:rPr>
        <w:t xml:space="preserve">cych z zatrudnienia osób </w:t>
      </w:r>
      <w:r>
        <w:rPr>
          <w:rFonts w:ascii="Times New Roman" w:hAnsi="Times New Roman" w:cs="Times New Roman"/>
          <w:sz w:val="24"/>
          <w:szCs w:val="24"/>
        </w:rPr>
        <w:t xml:space="preserve">młodych oraz tych </w:t>
      </w:r>
      <w:r w:rsidRPr="005A60CB">
        <w:rPr>
          <w:rFonts w:ascii="Times New Roman" w:hAnsi="Times New Roman" w:cs="Times New Roman"/>
          <w:sz w:val="24"/>
          <w:szCs w:val="24"/>
        </w:rPr>
        <w:t>powy</w:t>
      </w:r>
      <w:r>
        <w:rPr>
          <w:rFonts w:ascii="Times New Roman" w:hAnsi="Times New Roman" w:cs="Times New Roman"/>
          <w:sz w:val="24"/>
          <w:szCs w:val="24"/>
        </w:rPr>
        <w:t>ż</w:t>
      </w:r>
      <w:r w:rsidRPr="005A60CB">
        <w:rPr>
          <w:rFonts w:ascii="Times New Roman" w:hAnsi="Times New Roman" w:cs="Times New Roman"/>
          <w:sz w:val="24"/>
          <w:szCs w:val="24"/>
        </w:rPr>
        <w:t>ej</w:t>
      </w:r>
      <w:r>
        <w:rPr>
          <w:rFonts w:ascii="Times New Roman" w:hAnsi="Times New Roman" w:cs="Times New Roman"/>
          <w:sz w:val="24"/>
          <w:szCs w:val="24"/>
        </w:rPr>
        <w:t xml:space="preserve"> 45/50 roku życia, a </w:t>
      </w:r>
      <w:r w:rsidRPr="005A60CB">
        <w:rPr>
          <w:rFonts w:ascii="Times New Roman" w:hAnsi="Times New Roman" w:cs="Times New Roman"/>
          <w:sz w:val="24"/>
          <w:szCs w:val="24"/>
        </w:rPr>
        <w:t xml:space="preserve">Polska </w:t>
      </w:r>
      <w:r>
        <w:rPr>
          <w:rFonts w:ascii="Times New Roman" w:hAnsi="Times New Roman" w:cs="Times New Roman"/>
          <w:sz w:val="24"/>
          <w:szCs w:val="24"/>
        </w:rPr>
        <w:t xml:space="preserve">charakteryzuje się jednym z </w:t>
      </w:r>
      <w:r w:rsidRPr="005A60CB">
        <w:rPr>
          <w:rFonts w:ascii="Times New Roman" w:hAnsi="Times New Roman" w:cs="Times New Roman"/>
          <w:sz w:val="24"/>
          <w:szCs w:val="24"/>
        </w:rPr>
        <w:t>najni</w:t>
      </w:r>
      <w:r>
        <w:rPr>
          <w:rFonts w:ascii="Times New Roman" w:hAnsi="Times New Roman" w:cs="Times New Roman"/>
          <w:sz w:val="24"/>
          <w:szCs w:val="24"/>
        </w:rPr>
        <w:t>ż</w:t>
      </w:r>
      <w:r w:rsidRPr="005A60CB">
        <w:rPr>
          <w:rFonts w:ascii="Times New Roman" w:hAnsi="Times New Roman" w:cs="Times New Roman"/>
          <w:sz w:val="24"/>
          <w:szCs w:val="24"/>
        </w:rPr>
        <w:t>sz</w:t>
      </w:r>
      <w:r>
        <w:rPr>
          <w:rFonts w:ascii="Times New Roman" w:hAnsi="Times New Roman" w:cs="Times New Roman"/>
          <w:sz w:val="24"/>
          <w:szCs w:val="24"/>
        </w:rPr>
        <w:t>ych</w:t>
      </w:r>
      <w:r w:rsidRPr="005A60CB">
        <w:rPr>
          <w:rFonts w:ascii="Times New Roman" w:hAnsi="Times New Roman" w:cs="Times New Roman"/>
          <w:sz w:val="24"/>
          <w:szCs w:val="24"/>
        </w:rPr>
        <w:t xml:space="preserve"> w Unii Europejskiej wska</w:t>
      </w:r>
      <w:r>
        <w:rPr>
          <w:rFonts w:ascii="Times New Roman" w:hAnsi="Times New Roman" w:cs="Times New Roman"/>
          <w:sz w:val="24"/>
          <w:szCs w:val="24"/>
        </w:rPr>
        <w:t>ź</w:t>
      </w:r>
      <w:r w:rsidRPr="005A60CB">
        <w:rPr>
          <w:rFonts w:ascii="Times New Roman" w:hAnsi="Times New Roman" w:cs="Times New Roman"/>
          <w:sz w:val="24"/>
          <w:szCs w:val="24"/>
        </w:rPr>
        <w:t>niki</w:t>
      </w:r>
      <w:r>
        <w:rPr>
          <w:rFonts w:ascii="Times New Roman" w:hAnsi="Times New Roman" w:cs="Times New Roman"/>
          <w:sz w:val="24"/>
          <w:szCs w:val="24"/>
        </w:rPr>
        <w:t xml:space="preserve">em </w:t>
      </w:r>
      <w:r w:rsidRPr="005A60CB">
        <w:rPr>
          <w:rFonts w:ascii="Times New Roman" w:hAnsi="Times New Roman" w:cs="Times New Roman"/>
          <w:sz w:val="24"/>
          <w:szCs w:val="24"/>
        </w:rPr>
        <w:t>zatrudnienia ludno</w:t>
      </w:r>
      <w:r>
        <w:rPr>
          <w:rFonts w:ascii="Times New Roman" w:hAnsi="Times New Roman" w:cs="Times New Roman"/>
          <w:sz w:val="24"/>
          <w:szCs w:val="24"/>
        </w:rPr>
        <w:t>ści w wieku aktywnoś</w:t>
      </w:r>
      <w:r w:rsidRPr="005A60CB">
        <w:rPr>
          <w:rFonts w:ascii="Times New Roman" w:hAnsi="Times New Roman" w:cs="Times New Roman"/>
          <w:sz w:val="24"/>
          <w:szCs w:val="24"/>
        </w:rPr>
        <w:t>ci zawodowej</w:t>
      </w:r>
      <w:r>
        <w:rPr>
          <w:rFonts w:ascii="Times New Roman" w:hAnsi="Times New Roman" w:cs="Times New Roman"/>
          <w:sz w:val="24"/>
          <w:szCs w:val="24"/>
        </w:rPr>
        <w:t>.</w:t>
      </w:r>
    </w:p>
    <w:p w:rsidR="00F80576" w:rsidRPr="00BE2C17" w:rsidRDefault="00097DDB" w:rsidP="00097DD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Konieczne jest zatem podejmowanie działań zmierzają</w:t>
      </w:r>
      <w:r w:rsidRPr="00097DDB">
        <w:rPr>
          <w:rFonts w:ascii="Times New Roman" w:hAnsi="Times New Roman" w:cs="Times New Roman"/>
          <w:sz w:val="24"/>
          <w:szCs w:val="24"/>
        </w:rPr>
        <w:t xml:space="preserve">cych do poprawy sytuacji osób </w:t>
      </w:r>
      <w:r>
        <w:rPr>
          <w:rFonts w:ascii="Times New Roman" w:hAnsi="Times New Roman" w:cs="Times New Roman"/>
          <w:sz w:val="24"/>
          <w:szCs w:val="24"/>
        </w:rPr>
        <w:t>młodych i starszych</w:t>
      </w:r>
      <w:r w:rsidRPr="00097DDB">
        <w:rPr>
          <w:rFonts w:ascii="Times New Roman" w:hAnsi="Times New Roman" w:cs="Times New Roman"/>
          <w:sz w:val="24"/>
          <w:szCs w:val="24"/>
        </w:rPr>
        <w:t xml:space="preserve"> na rynku</w:t>
      </w:r>
      <w:r>
        <w:rPr>
          <w:rFonts w:ascii="Times New Roman" w:hAnsi="Times New Roman" w:cs="Times New Roman"/>
          <w:sz w:val="24"/>
          <w:szCs w:val="24"/>
        </w:rPr>
        <w:t xml:space="preserve"> </w:t>
      </w:r>
      <w:r w:rsidRPr="00097DDB">
        <w:rPr>
          <w:rFonts w:ascii="Times New Roman" w:hAnsi="Times New Roman" w:cs="Times New Roman"/>
          <w:sz w:val="24"/>
          <w:szCs w:val="24"/>
        </w:rPr>
        <w:t>pracy</w:t>
      </w:r>
      <w:r>
        <w:rPr>
          <w:rFonts w:ascii="Times New Roman" w:hAnsi="Times New Roman" w:cs="Times New Roman"/>
          <w:sz w:val="24"/>
          <w:szCs w:val="24"/>
        </w:rPr>
        <w:t>,</w:t>
      </w:r>
      <w:r w:rsidR="00AD0546">
        <w:rPr>
          <w:rFonts w:ascii="Times New Roman" w:hAnsi="Times New Roman" w:cs="Times New Roman"/>
          <w:sz w:val="24"/>
          <w:szCs w:val="24"/>
        </w:rPr>
        <w:t xml:space="preserve"> i wyrównania</w:t>
      </w:r>
      <w:r w:rsidRPr="00097DDB">
        <w:rPr>
          <w:rFonts w:ascii="Times New Roman" w:hAnsi="Times New Roman" w:cs="Times New Roman"/>
          <w:sz w:val="24"/>
          <w:szCs w:val="24"/>
        </w:rPr>
        <w:t xml:space="preserve"> ich szans w stosunku do pozostałych.</w:t>
      </w:r>
      <w:r>
        <w:rPr>
          <w:rFonts w:ascii="Times New Roman" w:hAnsi="Times New Roman" w:cs="Times New Roman"/>
          <w:sz w:val="24"/>
          <w:szCs w:val="24"/>
        </w:rPr>
        <w:t xml:space="preserve"> </w:t>
      </w:r>
      <w:r w:rsidR="00AD0546">
        <w:rPr>
          <w:rFonts w:ascii="Times New Roman" w:hAnsi="Times New Roman" w:cs="Times New Roman"/>
          <w:sz w:val="24"/>
          <w:szCs w:val="24"/>
        </w:rPr>
        <w:br/>
        <w:t>W niniejszej analizie zostały opisane w</w:t>
      </w:r>
      <w:r>
        <w:rPr>
          <w:rFonts w:ascii="Times New Roman" w:hAnsi="Times New Roman" w:cs="Times New Roman"/>
          <w:sz w:val="24"/>
          <w:szCs w:val="24"/>
        </w:rPr>
        <w:t>ybrane</w:t>
      </w:r>
      <w:r w:rsidR="00A47131">
        <w:rPr>
          <w:rFonts w:ascii="Times New Roman" w:hAnsi="Times New Roman" w:cs="Times New Roman"/>
          <w:sz w:val="24"/>
          <w:szCs w:val="24"/>
        </w:rPr>
        <w:t xml:space="preserve"> działania wspierające aktywizację zawodową</w:t>
      </w:r>
      <w:r>
        <w:rPr>
          <w:rFonts w:ascii="Times New Roman" w:hAnsi="Times New Roman" w:cs="Times New Roman"/>
          <w:sz w:val="24"/>
          <w:szCs w:val="24"/>
        </w:rPr>
        <w:t xml:space="preserve"> tych osób</w:t>
      </w:r>
      <w:r w:rsidR="00392DF8">
        <w:rPr>
          <w:rFonts w:ascii="Times New Roman" w:hAnsi="Times New Roman" w:cs="Times New Roman"/>
          <w:sz w:val="24"/>
          <w:szCs w:val="24"/>
        </w:rPr>
        <w:t xml:space="preserve">, finansowane </w:t>
      </w:r>
      <w:r>
        <w:rPr>
          <w:rFonts w:ascii="Times New Roman" w:hAnsi="Times New Roman" w:cs="Times New Roman"/>
          <w:sz w:val="24"/>
          <w:szCs w:val="24"/>
        </w:rPr>
        <w:t xml:space="preserve">zarówno </w:t>
      </w:r>
      <w:r w:rsidR="00392DF8">
        <w:rPr>
          <w:rFonts w:ascii="Times New Roman" w:hAnsi="Times New Roman" w:cs="Times New Roman"/>
          <w:sz w:val="24"/>
          <w:szCs w:val="24"/>
        </w:rPr>
        <w:t>ze środków Fundusz</w:t>
      </w:r>
      <w:r>
        <w:rPr>
          <w:rFonts w:ascii="Times New Roman" w:hAnsi="Times New Roman" w:cs="Times New Roman"/>
          <w:sz w:val="24"/>
          <w:szCs w:val="24"/>
        </w:rPr>
        <w:t>u Pracy, jak i środków unijnych.</w:t>
      </w:r>
    </w:p>
    <w:p w:rsidR="009753C4" w:rsidRDefault="009753C4" w:rsidP="00DF09E9">
      <w:pPr>
        <w:spacing w:after="0" w:line="360" w:lineRule="auto"/>
        <w:rPr>
          <w:rFonts w:asciiTheme="majorHAnsi" w:eastAsiaTheme="majorEastAsia" w:hAnsiTheme="majorHAnsi" w:cstheme="majorBidi"/>
          <w:b/>
          <w:bCs/>
          <w:color w:val="365F91" w:themeColor="accent1" w:themeShade="BF"/>
          <w:sz w:val="28"/>
          <w:szCs w:val="28"/>
        </w:rPr>
      </w:pPr>
      <w:r>
        <w:br w:type="page"/>
      </w:r>
    </w:p>
    <w:p w:rsidR="007E709D" w:rsidRDefault="007E709D" w:rsidP="00730B52">
      <w:pPr>
        <w:pStyle w:val="Nagwek1"/>
        <w:numPr>
          <w:ilvl w:val="0"/>
          <w:numId w:val="5"/>
        </w:numPr>
        <w:spacing w:before="0" w:line="360" w:lineRule="auto"/>
        <w:ind w:left="567" w:hanging="567"/>
      </w:pPr>
      <w:bookmarkStart w:id="2" w:name="_Toc333477251"/>
      <w:r w:rsidRPr="007E709D">
        <w:lastRenderedPageBreak/>
        <w:t>Struktura bezrobocia w Wielkopolsce w latach 2009-2011</w:t>
      </w:r>
      <w:bookmarkEnd w:id="2"/>
    </w:p>
    <w:p w:rsidR="005D0631" w:rsidRPr="005D0631" w:rsidRDefault="005D0631" w:rsidP="005D0631"/>
    <w:p w:rsidR="00730B52" w:rsidRDefault="00466D67" w:rsidP="00A17A96">
      <w:pPr>
        <w:pStyle w:val="Nagwek2"/>
        <w:numPr>
          <w:ilvl w:val="0"/>
          <w:numId w:val="18"/>
        </w:numPr>
      </w:pPr>
      <w:bookmarkStart w:id="3" w:name="_Toc333477252"/>
      <w:r>
        <w:t>Ogólne i</w:t>
      </w:r>
      <w:r w:rsidR="007B425B" w:rsidRPr="007B425B">
        <w:t>nformacje dotyczące bezrobocia wśród osób do 25 i powyżej 50 roku życia</w:t>
      </w:r>
      <w:bookmarkEnd w:id="3"/>
    </w:p>
    <w:p w:rsidR="007B425B" w:rsidRPr="007B425B" w:rsidRDefault="007B425B" w:rsidP="007B425B">
      <w:pPr>
        <w:keepNext/>
        <w:keepLines/>
        <w:spacing w:after="0" w:line="360" w:lineRule="auto"/>
        <w:ind w:left="720"/>
        <w:outlineLvl w:val="1"/>
        <w:rPr>
          <w:rFonts w:asciiTheme="majorHAnsi" w:eastAsiaTheme="majorEastAsia" w:hAnsiTheme="majorHAnsi" w:cstheme="majorBidi"/>
          <w:b/>
          <w:bCs/>
          <w:color w:val="4F81BD" w:themeColor="accent1"/>
          <w:sz w:val="26"/>
          <w:szCs w:val="26"/>
        </w:rPr>
      </w:pPr>
    </w:p>
    <w:p w:rsidR="00986E64" w:rsidRDefault="00986E64" w:rsidP="00986E6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koniec grudnia 2009 roku</w:t>
      </w:r>
      <w:r w:rsidR="003F65B9">
        <w:rPr>
          <w:rFonts w:ascii="Times New Roman" w:hAnsi="Times New Roman" w:cs="Times New Roman"/>
          <w:sz w:val="24"/>
          <w:szCs w:val="24"/>
        </w:rPr>
        <w:t>,</w:t>
      </w:r>
      <w:r>
        <w:rPr>
          <w:rFonts w:ascii="Times New Roman" w:hAnsi="Times New Roman" w:cs="Times New Roman"/>
          <w:sz w:val="24"/>
          <w:szCs w:val="24"/>
        </w:rPr>
        <w:t xml:space="preserve"> liczba zarejestrowanych osób bezrobotnych </w:t>
      </w:r>
      <w:r w:rsidR="000429AE">
        <w:rPr>
          <w:rFonts w:ascii="Times New Roman" w:hAnsi="Times New Roman" w:cs="Times New Roman"/>
          <w:sz w:val="24"/>
          <w:szCs w:val="24"/>
        </w:rPr>
        <w:br/>
      </w:r>
      <w:r>
        <w:rPr>
          <w:rFonts w:ascii="Times New Roman" w:hAnsi="Times New Roman" w:cs="Times New Roman"/>
          <w:sz w:val="24"/>
          <w:szCs w:val="24"/>
        </w:rPr>
        <w:t>w Wielkopolsce wyniosła 133 563 osoby</w:t>
      </w:r>
      <w:r w:rsidR="00AE761E">
        <w:rPr>
          <w:rFonts w:ascii="Times New Roman" w:hAnsi="Times New Roman" w:cs="Times New Roman"/>
          <w:sz w:val="24"/>
          <w:szCs w:val="24"/>
        </w:rPr>
        <w:t>.</w:t>
      </w:r>
      <w:r>
        <w:rPr>
          <w:rFonts w:ascii="Times New Roman" w:hAnsi="Times New Roman" w:cs="Times New Roman"/>
          <w:sz w:val="24"/>
          <w:szCs w:val="24"/>
        </w:rPr>
        <w:t xml:space="preserve"> </w:t>
      </w:r>
      <w:r w:rsidR="00AE761E">
        <w:rPr>
          <w:rFonts w:ascii="Times New Roman" w:hAnsi="Times New Roman" w:cs="Times New Roman"/>
          <w:sz w:val="24"/>
          <w:szCs w:val="24"/>
        </w:rPr>
        <w:t>W</w:t>
      </w:r>
      <w:r>
        <w:rPr>
          <w:rFonts w:ascii="Times New Roman" w:hAnsi="Times New Roman" w:cs="Times New Roman"/>
          <w:sz w:val="24"/>
          <w:szCs w:val="24"/>
        </w:rPr>
        <w:t xml:space="preserve"> grudniu 2010 roku </w:t>
      </w:r>
      <w:r w:rsidR="00AE761E">
        <w:rPr>
          <w:rFonts w:ascii="Times New Roman" w:hAnsi="Times New Roman" w:cs="Times New Roman"/>
          <w:sz w:val="24"/>
          <w:szCs w:val="24"/>
        </w:rPr>
        <w:t xml:space="preserve">nastąpił wzrost </w:t>
      </w:r>
      <w:r>
        <w:rPr>
          <w:rFonts w:ascii="Times New Roman" w:hAnsi="Times New Roman" w:cs="Times New Roman"/>
          <w:sz w:val="24"/>
          <w:szCs w:val="24"/>
        </w:rPr>
        <w:t xml:space="preserve">do 135 172 osób, natomiast na koniec 2011 roku wynosiła 134 954 osoby. Stopa bezrobocia w naszym regionie kształtowała się </w:t>
      </w:r>
      <w:r w:rsidR="000429AE">
        <w:rPr>
          <w:rFonts w:ascii="Times New Roman" w:hAnsi="Times New Roman" w:cs="Times New Roman"/>
          <w:sz w:val="24"/>
          <w:szCs w:val="24"/>
        </w:rPr>
        <w:t xml:space="preserve">w latach 2009-2011, na koniec każdego roku, </w:t>
      </w:r>
      <w:r>
        <w:rPr>
          <w:rFonts w:ascii="Times New Roman" w:hAnsi="Times New Roman" w:cs="Times New Roman"/>
          <w:sz w:val="24"/>
          <w:szCs w:val="24"/>
        </w:rPr>
        <w:t>na poziomie 9,2%</w:t>
      </w:r>
      <w:r w:rsidR="000429AE">
        <w:rPr>
          <w:rFonts w:ascii="Times New Roman" w:hAnsi="Times New Roman" w:cs="Times New Roman"/>
          <w:sz w:val="24"/>
          <w:szCs w:val="24"/>
        </w:rPr>
        <w:t xml:space="preserve"> </w:t>
      </w:r>
      <w:r w:rsidR="000429AE">
        <w:rPr>
          <w:rFonts w:ascii="Times New Roman" w:hAnsi="Times New Roman" w:cs="Times New Roman"/>
          <w:sz w:val="24"/>
          <w:szCs w:val="24"/>
        </w:rPr>
        <w:br/>
        <w:t>i była najniższa w kraju.</w:t>
      </w:r>
    </w:p>
    <w:p w:rsidR="005B172C" w:rsidRDefault="005B172C" w:rsidP="00986E64">
      <w:pPr>
        <w:spacing w:after="0" w:line="360" w:lineRule="auto"/>
        <w:ind w:firstLine="709"/>
        <w:jc w:val="both"/>
        <w:rPr>
          <w:rFonts w:ascii="Times New Roman" w:hAnsi="Times New Roman" w:cs="Times New Roman"/>
          <w:sz w:val="24"/>
          <w:szCs w:val="24"/>
        </w:rPr>
      </w:pPr>
    </w:p>
    <w:p w:rsidR="000F22EA" w:rsidRPr="005B172C" w:rsidRDefault="005B172C" w:rsidP="005B172C">
      <w:pPr>
        <w:spacing w:after="0" w:line="360" w:lineRule="auto"/>
        <w:jc w:val="both"/>
        <w:rPr>
          <w:rFonts w:cstheme="minorHAnsi"/>
        </w:rPr>
      </w:pPr>
      <w:r>
        <w:rPr>
          <w:rFonts w:cstheme="minorHAnsi"/>
        </w:rPr>
        <w:t>Wykres 1. Liczba bezrobotnych w Wielkopolsce w latach 2009-2011 (na koniec danego roku)</w:t>
      </w:r>
    </w:p>
    <w:p w:rsidR="000F22EA" w:rsidRDefault="0093103A" w:rsidP="00986E64">
      <w:pPr>
        <w:spacing w:after="0" w:line="360" w:lineRule="auto"/>
        <w:ind w:firstLine="709"/>
        <w:jc w:val="both"/>
        <w:rPr>
          <w:rFonts w:ascii="Times New Roman" w:hAnsi="Times New Roman" w:cs="Times New Roman"/>
          <w:sz w:val="24"/>
          <w:szCs w:val="24"/>
        </w:rPr>
      </w:pPr>
      <w:r>
        <w:rPr>
          <w:noProof/>
          <w:lang w:eastAsia="pl-PL"/>
        </w:rPr>
        <w:drawing>
          <wp:inline distT="0" distB="0" distL="0" distR="0" wp14:anchorId="66144FC5" wp14:editId="34451F5E">
            <wp:extent cx="4905375" cy="3343275"/>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B172C" w:rsidRDefault="005B172C" w:rsidP="00986E64">
      <w:pPr>
        <w:spacing w:after="0" w:line="360" w:lineRule="auto"/>
        <w:ind w:firstLine="709"/>
        <w:jc w:val="both"/>
        <w:rPr>
          <w:rFonts w:ascii="Times New Roman" w:hAnsi="Times New Roman" w:cs="Times New Roman"/>
          <w:sz w:val="24"/>
          <w:szCs w:val="24"/>
        </w:rPr>
      </w:pPr>
    </w:p>
    <w:p w:rsidR="007D7BC2" w:rsidRDefault="008126B7" w:rsidP="00986E64">
      <w:pPr>
        <w:spacing w:after="0" w:line="360" w:lineRule="auto"/>
        <w:ind w:firstLine="709"/>
        <w:jc w:val="both"/>
        <w:rPr>
          <w:rFonts w:ascii="Times New Roman" w:hAnsi="Times New Roman" w:cs="Times New Roman"/>
          <w:sz w:val="24"/>
          <w:szCs w:val="24"/>
        </w:rPr>
      </w:pPr>
      <w:r w:rsidRPr="008126B7">
        <w:rPr>
          <w:rFonts w:ascii="Times New Roman" w:hAnsi="Times New Roman" w:cs="Times New Roman"/>
          <w:sz w:val="24"/>
          <w:szCs w:val="24"/>
        </w:rPr>
        <w:t xml:space="preserve">W 2009 roku </w:t>
      </w:r>
      <w:r>
        <w:rPr>
          <w:rFonts w:ascii="Times New Roman" w:hAnsi="Times New Roman" w:cs="Times New Roman"/>
          <w:sz w:val="24"/>
          <w:szCs w:val="24"/>
        </w:rPr>
        <w:t>osoby bezrobotne do 25 roku życia stanowiły 26,3% ogółu bezrobotnych zar</w:t>
      </w:r>
      <w:r w:rsidR="00F16D99">
        <w:rPr>
          <w:rFonts w:ascii="Times New Roman" w:hAnsi="Times New Roman" w:cs="Times New Roman"/>
          <w:sz w:val="24"/>
          <w:szCs w:val="24"/>
        </w:rPr>
        <w:t xml:space="preserve">ejestrowanych w wielkopolskich </w:t>
      </w:r>
      <w:r w:rsidR="00AE761E">
        <w:rPr>
          <w:rFonts w:ascii="Times New Roman" w:hAnsi="Times New Roman" w:cs="Times New Roman"/>
          <w:sz w:val="24"/>
          <w:szCs w:val="24"/>
        </w:rPr>
        <w:t>p</w:t>
      </w:r>
      <w:r w:rsidR="00F16D99">
        <w:rPr>
          <w:rFonts w:ascii="Times New Roman" w:hAnsi="Times New Roman" w:cs="Times New Roman"/>
          <w:sz w:val="24"/>
          <w:szCs w:val="24"/>
        </w:rPr>
        <w:t xml:space="preserve">owiatowych </w:t>
      </w:r>
      <w:r w:rsidR="00AE761E">
        <w:rPr>
          <w:rFonts w:ascii="Times New Roman" w:hAnsi="Times New Roman" w:cs="Times New Roman"/>
          <w:sz w:val="24"/>
          <w:szCs w:val="24"/>
        </w:rPr>
        <w:t>u</w:t>
      </w:r>
      <w:r w:rsidR="00F16D99">
        <w:rPr>
          <w:rFonts w:ascii="Times New Roman" w:hAnsi="Times New Roman" w:cs="Times New Roman"/>
          <w:sz w:val="24"/>
          <w:szCs w:val="24"/>
        </w:rPr>
        <w:t xml:space="preserve">rzędach </w:t>
      </w:r>
      <w:r w:rsidR="00AE761E">
        <w:rPr>
          <w:rFonts w:ascii="Times New Roman" w:hAnsi="Times New Roman" w:cs="Times New Roman"/>
          <w:sz w:val="24"/>
          <w:szCs w:val="24"/>
        </w:rPr>
        <w:t>p</w:t>
      </w:r>
      <w:r>
        <w:rPr>
          <w:rFonts w:ascii="Times New Roman" w:hAnsi="Times New Roman" w:cs="Times New Roman"/>
          <w:sz w:val="24"/>
          <w:szCs w:val="24"/>
        </w:rPr>
        <w:t xml:space="preserve">racy. Odsetek ten spadł w 2010 roku do 25,3%, natomiast w 2011 wyniósł 24,2%. </w:t>
      </w:r>
      <w:r w:rsidR="00AE761E">
        <w:rPr>
          <w:rFonts w:ascii="Times New Roman" w:hAnsi="Times New Roman" w:cs="Times New Roman"/>
          <w:sz w:val="24"/>
          <w:szCs w:val="24"/>
        </w:rPr>
        <w:t>N</w:t>
      </w:r>
      <w:r>
        <w:rPr>
          <w:rFonts w:ascii="Times New Roman" w:hAnsi="Times New Roman" w:cs="Times New Roman"/>
          <w:sz w:val="24"/>
          <w:szCs w:val="24"/>
        </w:rPr>
        <w:t xml:space="preserve">a przestrzeni omawianego okresu, systematycznie zwiększał się udział </w:t>
      </w:r>
      <w:r w:rsidR="00AE761E">
        <w:rPr>
          <w:rFonts w:ascii="Times New Roman" w:hAnsi="Times New Roman" w:cs="Times New Roman"/>
          <w:sz w:val="24"/>
          <w:szCs w:val="24"/>
        </w:rPr>
        <w:t xml:space="preserve">kobiet </w:t>
      </w:r>
      <w:r>
        <w:rPr>
          <w:rFonts w:ascii="Times New Roman" w:hAnsi="Times New Roman" w:cs="Times New Roman"/>
          <w:sz w:val="24"/>
          <w:szCs w:val="24"/>
        </w:rPr>
        <w:t>wśród bezrobotnych do 25 roku życia, z 55,6% do 60,3%.</w:t>
      </w:r>
    </w:p>
    <w:p w:rsidR="000F22EA" w:rsidRDefault="000F22EA" w:rsidP="00986E64">
      <w:pPr>
        <w:spacing w:after="0" w:line="360" w:lineRule="auto"/>
        <w:ind w:firstLine="709"/>
        <w:jc w:val="both"/>
        <w:rPr>
          <w:rFonts w:ascii="Times New Roman" w:hAnsi="Times New Roman" w:cs="Times New Roman"/>
          <w:sz w:val="24"/>
          <w:szCs w:val="24"/>
        </w:rPr>
      </w:pPr>
    </w:p>
    <w:p w:rsidR="000F22EA" w:rsidRDefault="000F22EA" w:rsidP="00986E64">
      <w:pPr>
        <w:spacing w:after="0" w:line="360" w:lineRule="auto"/>
        <w:ind w:firstLine="709"/>
        <w:jc w:val="both"/>
        <w:rPr>
          <w:rFonts w:ascii="Times New Roman" w:hAnsi="Times New Roman" w:cs="Times New Roman"/>
          <w:sz w:val="24"/>
          <w:szCs w:val="24"/>
        </w:rPr>
      </w:pPr>
    </w:p>
    <w:p w:rsidR="007D7BC2" w:rsidRDefault="00986E64" w:rsidP="00730B52">
      <w:r>
        <w:lastRenderedPageBreak/>
        <w:t xml:space="preserve">Wykres </w:t>
      </w:r>
      <w:r w:rsidR="005B172C">
        <w:t>2</w:t>
      </w:r>
      <w:r>
        <w:t>.</w:t>
      </w:r>
      <w:r w:rsidR="007D7BC2">
        <w:t xml:space="preserve"> Struktura osób bezrobotnych do 25 roku życia, według płci, w latach 2009-2011</w:t>
      </w:r>
      <w:r w:rsidR="007929E7">
        <w:t xml:space="preserve"> (</w:t>
      </w:r>
      <w:r w:rsidR="005D6A7E">
        <w:t>na koniec</w:t>
      </w:r>
      <w:r w:rsidR="007929E7">
        <w:t xml:space="preserve"> danego roku)</w:t>
      </w:r>
    </w:p>
    <w:p w:rsidR="007D7BC2" w:rsidRDefault="00FF2E7B" w:rsidP="00CE0E27">
      <w:pPr>
        <w:jc w:val="center"/>
      </w:pPr>
      <w:r>
        <w:rPr>
          <w:noProof/>
          <w:lang w:eastAsia="pl-PL"/>
        </w:rPr>
        <w:drawing>
          <wp:inline distT="0" distB="0" distL="0" distR="0" wp14:anchorId="3694BDEA" wp14:editId="03468D42">
            <wp:extent cx="3181350" cy="2076450"/>
            <wp:effectExtent l="0" t="0" r="0" b="0"/>
            <wp:docPr id="20"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F6697" w:rsidRDefault="00EC59F7" w:rsidP="00CE0E27">
      <w:pPr>
        <w:jc w:val="center"/>
      </w:pPr>
      <w:r>
        <w:rPr>
          <w:noProof/>
          <w:lang w:eastAsia="pl-PL"/>
        </w:rPr>
        <w:drawing>
          <wp:inline distT="0" distB="0" distL="0" distR="0" wp14:anchorId="3F6DB781" wp14:editId="6F25B34A">
            <wp:extent cx="3448050" cy="2209800"/>
            <wp:effectExtent l="0" t="0" r="0" b="0"/>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F6697" w:rsidRDefault="00AF6697" w:rsidP="00CE0E27">
      <w:pPr>
        <w:jc w:val="center"/>
      </w:pPr>
    </w:p>
    <w:p w:rsidR="007D7BC2" w:rsidRDefault="00FF2E7B" w:rsidP="007D7BC2">
      <w:pPr>
        <w:jc w:val="center"/>
      </w:pPr>
      <w:r>
        <w:rPr>
          <w:noProof/>
          <w:lang w:eastAsia="pl-PL"/>
        </w:rPr>
        <w:drawing>
          <wp:inline distT="0" distB="0" distL="0" distR="0" wp14:anchorId="5DB6F57B" wp14:editId="4EF44F4B">
            <wp:extent cx="3362325" cy="2295525"/>
            <wp:effectExtent l="0" t="0" r="0" b="0"/>
            <wp:docPr id="22"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F6697" w:rsidRDefault="00EF33DD" w:rsidP="00AF6697">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7D7BC2" w:rsidRPr="00EF33DD" w:rsidRDefault="00BE5D46" w:rsidP="005B172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7776BD">
        <w:rPr>
          <w:rFonts w:ascii="Times New Roman" w:hAnsi="Times New Roman" w:cs="Times New Roman"/>
          <w:sz w:val="24"/>
          <w:szCs w:val="24"/>
        </w:rPr>
        <w:t xml:space="preserve">dsetek </w:t>
      </w:r>
      <w:r>
        <w:rPr>
          <w:rFonts w:ascii="Times New Roman" w:hAnsi="Times New Roman" w:cs="Times New Roman"/>
          <w:sz w:val="24"/>
          <w:szCs w:val="24"/>
        </w:rPr>
        <w:t xml:space="preserve">osób powyżej 50 roku życia </w:t>
      </w:r>
      <w:r w:rsidR="007776BD">
        <w:rPr>
          <w:rFonts w:ascii="Times New Roman" w:hAnsi="Times New Roman" w:cs="Times New Roman"/>
          <w:sz w:val="24"/>
          <w:szCs w:val="24"/>
        </w:rPr>
        <w:t xml:space="preserve">w ogólnej liczbie bezrobotnych, na przestrzeni lat 2009-2011 zwiększył się z 17,9% do 19,7%. Wśród zarejestrowanych bezrobotnych </w:t>
      </w:r>
      <w:r w:rsidR="007776BD">
        <w:rPr>
          <w:rFonts w:ascii="Times New Roman" w:hAnsi="Times New Roman" w:cs="Times New Roman"/>
          <w:sz w:val="24"/>
          <w:szCs w:val="24"/>
        </w:rPr>
        <w:lastRenderedPageBreak/>
        <w:t xml:space="preserve">powyżej 50 roku życia, przeważają mężczyźni, jednak odsetek kobiet w tej grupie, wzrósł </w:t>
      </w:r>
      <w:r w:rsidR="00360213">
        <w:rPr>
          <w:rFonts w:ascii="Times New Roman" w:hAnsi="Times New Roman" w:cs="Times New Roman"/>
          <w:sz w:val="24"/>
          <w:szCs w:val="24"/>
        </w:rPr>
        <w:br/>
      </w:r>
      <w:r w:rsidR="007776BD">
        <w:rPr>
          <w:rFonts w:ascii="Times New Roman" w:hAnsi="Times New Roman" w:cs="Times New Roman"/>
          <w:sz w:val="24"/>
          <w:szCs w:val="24"/>
        </w:rPr>
        <w:t>z 42,2% w 2009 roku do 44,2% w roku 2011.</w:t>
      </w:r>
    </w:p>
    <w:p w:rsidR="007D7BC2" w:rsidRDefault="007D7BC2" w:rsidP="00730B52"/>
    <w:p w:rsidR="007D7BC2" w:rsidRDefault="007D7BC2" w:rsidP="00730B52">
      <w:r>
        <w:t xml:space="preserve">Wykres </w:t>
      </w:r>
      <w:r w:rsidR="005B172C">
        <w:t>3</w:t>
      </w:r>
      <w:r w:rsidR="00EF33DD">
        <w:t>.</w:t>
      </w:r>
      <w:r>
        <w:t xml:space="preserve"> Struktura osób bezrobotnych powyżej 50 roku życia, według płci, w latach 2009-2011</w:t>
      </w:r>
      <w:r w:rsidR="007929E7">
        <w:t xml:space="preserve"> (</w:t>
      </w:r>
      <w:r w:rsidR="005D6A7E">
        <w:t>na koniec</w:t>
      </w:r>
      <w:r w:rsidR="007929E7">
        <w:t xml:space="preserve"> danego roku)</w:t>
      </w:r>
    </w:p>
    <w:p w:rsidR="00AF6697" w:rsidRDefault="00FF2E7B" w:rsidP="00AF6697">
      <w:pPr>
        <w:jc w:val="center"/>
      </w:pPr>
      <w:r>
        <w:rPr>
          <w:noProof/>
          <w:lang w:eastAsia="pl-PL"/>
        </w:rPr>
        <w:drawing>
          <wp:inline distT="0" distB="0" distL="0" distR="0" wp14:anchorId="08AC325B" wp14:editId="51146F9A">
            <wp:extent cx="3810000" cy="2266950"/>
            <wp:effectExtent l="0" t="0" r="0" b="0"/>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D7BC2" w:rsidRDefault="00FF2E7B" w:rsidP="00AF6697">
      <w:pPr>
        <w:jc w:val="center"/>
      </w:pPr>
      <w:r>
        <w:rPr>
          <w:noProof/>
          <w:lang w:eastAsia="pl-PL"/>
        </w:rPr>
        <w:drawing>
          <wp:inline distT="0" distB="0" distL="0" distR="0" wp14:anchorId="473263FC" wp14:editId="73328A7E">
            <wp:extent cx="3657600" cy="2324100"/>
            <wp:effectExtent l="0" t="0" r="0" b="0"/>
            <wp:docPr id="24" name="Wykres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D7BC2" w:rsidRDefault="00EC59F7" w:rsidP="007D7BC2">
      <w:pPr>
        <w:jc w:val="center"/>
      </w:pPr>
      <w:r>
        <w:rPr>
          <w:noProof/>
          <w:lang w:eastAsia="pl-PL"/>
        </w:rPr>
        <w:drawing>
          <wp:inline distT="0" distB="0" distL="0" distR="0" wp14:anchorId="1A1CB42D" wp14:editId="5A38EFE6">
            <wp:extent cx="3629025" cy="2190750"/>
            <wp:effectExtent l="0" t="0" r="0" b="0"/>
            <wp:docPr id="25"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86B3F" w:rsidRDefault="007562F9" w:rsidP="00D86B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86B3F">
        <w:rPr>
          <w:rFonts w:ascii="Times New Roman" w:hAnsi="Times New Roman" w:cs="Times New Roman"/>
          <w:sz w:val="24"/>
          <w:szCs w:val="24"/>
        </w:rPr>
        <w:t>A</w:t>
      </w:r>
      <w:r>
        <w:rPr>
          <w:rFonts w:ascii="Times New Roman" w:hAnsi="Times New Roman" w:cs="Times New Roman"/>
          <w:sz w:val="24"/>
          <w:szCs w:val="24"/>
        </w:rPr>
        <w:t>rt. 49 ustawy o promocji zatrudni</w:t>
      </w:r>
      <w:r w:rsidR="00D86B3F">
        <w:rPr>
          <w:rFonts w:ascii="Times New Roman" w:hAnsi="Times New Roman" w:cs="Times New Roman"/>
          <w:sz w:val="24"/>
          <w:szCs w:val="24"/>
        </w:rPr>
        <w:t>enia i instytucjach rynku pracy</w:t>
      </w:r>
      <w:r w:rsidR="00432509">
        <w:rPr>
          <w:rFonts w:ascii="Times New Roman" w:hAnsi="Times New Roman" w:cs="Times New Roman"/>
          <w:sz w:val="24"/>
          <w:szCs w:val="24"/>
        </w:rPr>
        <w:t>,</w:t>
      </w:r>
      <w:r>
        <w:rPr>
          <w:rFonts w:ascii="Times New Roman" w:hAnsi="Times New Roman" w:cs="Times New Roman"/>
          <w:sz w:val="24"/>
          <w:szCs w:val="24"/>
        </w:rPr>
        <w:t xml:space="preserve"> </w:t>
      </w:r>
      <w:r w:rsidR="00D86B3F">
        <w:rPr>
          <w:rFonts w:ascii="Times New Roman" w:hAnsi="Times New Roman" w:cs="Times New Roman"/>
          <w:sz w:val="24"/>
          <w:szCs w:val="24"/>
        </w:rPr>
        <w:t>określa</w:t>
      </w:r>
      <w:r>
        <w:rPr>
          <w:rFonts w:ascii="Times New Roman" w:hAnsi="Times New Roman" w:cs="Times New Roman"/>
          <w:sz w:val="24"/>
          <w:szCs w:val="24"/>
        </w:rPr>
        <w:t xml:space="preserve"> </w:t>
      </w:r>
      <w:r w:rsidR="00D86B3F">
        <w:rPr>
          <w:rFonts w:ascii="Times New Roman" w:hAnsi="Times New Roman" w:cs="Times New Roman"/>
          <w:sz w:val="24"/>
          <w:szCs w:val="24"/>
        </w:rPr>
        <w:t>kategorie</w:t>
      </w:r>
      <w:r w:rsidR="00D20289">
        <w:rPr>
          <w:rFonts w:ascii="Times New Roman" w:hAnsi="Times New Roman" w:cs="Times New Roman"/>
          <w:sz w:val="24"/>
          <w:szCs w:val="24"/>
        </w:rPr>
        <w:t xml:space="preserve"> </w:t>
      </w:r>
      <w:r>
        <w:rPr>
          <w:rFonts w:ascii="Times New Roman" w:hAnsi="Times New Roman" w:cs="Times New Roman"/>
          <w:sz w:val="24"/>
          <w:szCs w:val="24"/>
        </w:rPr>
        <w:t>osób w szczególnej sytuacji na rynku pracy.</w:t>
      </w:r>
      <w:r w:rsidR="00D86B3F">
        <w:rPr>
          <w:rFonts w:ascii="Times New Roman" w:hAnsi="Times New Roman" w:cs="Times New Roman"/>
          <w:sz w:val="24"/>
          <w:szCs w:val="24"/>
        </w:rPr>
        <w:t xml:space="preserve"> Są to:</w:t>
      </w:r>
    </w:p>
    <w:p w:rsidR="00D86B3F" w:rsidRPr="00432509" w:rsidRDefault="00D86B3F" w:rsidP="00432509">
      <w:pPr>
        <w:pStyle w:val="Akapitzlist"/>
        <w:numPr>
          <w:ilvl w:val="0"/>
          <w:numId w:val="19"/>
        </w:numPr>
        <w:spacing w:after="0" w:line="360" w:lineRule="auto"/>
        <w:jc w:val="both"/>
        <w:rPr>
          <w:rFonts w:ascii="Times New Roman" w:hAnsi="Times New Roman" w:cs="Times New Roman"/>
          <w:sz w:val="24"/>
          <w:szCs w:val="24"/>
        </w:rPr>
      </w:pPr>
      <w:r w:rsidRPr="00432509">
        <w:rPr>
          <w:rFonts w:ascii="Times New Roman" w:hAnsi="Times New Roman" w:cs="Times New Roman"/>
          <w:sz w:val="24"/>
          <w:szCs w:val="24"/>
        </w:rPr>
        <w:t>bezrobotni do 25 roku życia,</w:t>
      </w:r>
    </w:p>
    <w:p w:rsidR="00D86B3F" w:rsidRPr="00432509" w:rsidRDefault="00D86B3F" w:rsidP="00432509">
      <w:pPr>
        <w:pStyle w:val="Akapitzlist"/>
        <w:numPr>
          <w:ilvl w:val="0"/>
          <w:numId w:val="19"/>
        </w:numPr>
        <w:spacing w:after="0" w:line="360" w:lineRule="auto"/>
        <w:jc w:val="both"/>
        <w:rPr>
          <w:rFonts w:ascii="Times New Roman" w:hAnsi="Times New Roman" w:cs="Times New Roman"/>
          <w:sz w:val="24"/>
          <w:szCs w:val="24"/>
        </w:rPr>
      </w:pPr>
      <w:r w:rsidRPr="00432509">
        <w:rPr>
          <w:rFonts w:ascii="Times New Roman" w:hAnsi="Times New Roman" w:cs="Times New Roman"/>
          <w:sz w:val="24"/>
          <w:szCs w:val="24"/>
        </w:rPr>
        <w:t>długotrwale bezrobotni,</w:t>
      </w:r>
    </w:p>
    <w:p w:rsidR="00D86B3F" w:rsidRPr="00432509" w:rsidRDefault="00F21D68" w:rsidP="00432509">
      <w:pPr>
        <w:pStyle w:val="Akapitzlist"/>
        <w:numPr>
          <w:ilvl w:val="0"/>
          <w:numId w:val="19"/>
        </w:numPr>
        <w:spacing w:after="0" w:line="360" w:lineRule="auto"/>
        <w:jc w:val="both"/>
        <w:rPr>
          <w:rFonts w:ascii="Times New Roman" w:hAnsi="Times New Roman" w:cs="Times New Roman"/>
          <w:sz w:val="24"/>
          <w:szCs w:val="24"/>
        </w:rPr>
      </w:pPr>
      <w:r w:rsidRPr="00432509">
        <w:rPr>
          <w:rFonts w:ascii="Times New Roman" w:hAnsi="Times New Roman" w:cs="Times New Roman"/>
          <w:sz w:val="24"/>
          <w:szCs w:val="24"/>
        </w:rPr>
        <w:t>bezrobotni powyżej 50 roku życia,</w:t>
      </w:r>
    </w:p>
    <w:p w:rsidR="00F21D68" w:rsidRPr="00432509" w:rsidRDefault="00F21D68" w:rsidP="00432509">
      <w:pPr>
        <w:pStyle w:val="Akapitzlist"/>
        <w:numPr>
          <w:ilvl w:val="0"/>
          <w:numId w:val="19"/>
        </w:numPr>
        <w:spacing w:after="0" w:line="360" w:lineRule="auto"/>
        <w:jc w:val="both"/>
        <w:rPr>
          <w:rFonts w:ascii="Times New Roman" w:hAnsi="Times New Roman" w:cs="Times New Roman"/>
          <w:sz w:val="24"/>
          <w:szCs w:val="24"/>
        </w:rPr>
      </w:pPr>
      <w:r w:rsidRPr="00432509">
        <w:rPr>
          <w:rFonts w:ascii="Times New Roman" w:hAnsi="Times New Roman" w:cs="Times New Roman"/>
          <w:sz w:val="24"/>
          <w:szCs w:val="24"/>
        </w:rPr>
        <w:t>bezrobotni bez kwalifikacji zawodowych, bez doświadczenia zawodowego lub bez wykształcenia średniego,</w:t>
      </w:r>
    </w:p>
    <w:p w:rsidR="00F21D68" w:rsidRPr="00432509" w:rsidRDefault="00F21D68" w:rsidP="00432509">
      <w:pPr>
        <w:pStyle w:val="Akapitzlist"/>
        <w:numPr>
          <w:ilvl w:val="0"/>
          <w:numId w:val="19"/>
        </w:numPr>
        <w:spacing w:after="0" w:line="360" w:lineRule="auto"/>
        <w:jc w:val="both"/>
        <w:rPr>
          <w:rFonts w:ascii="Times New Roman" w:hAnsi="Times New Roman" w:cs="Times New Roman"/>
          <w:sz w:val="24"/>
          <w:szCs w:val="24"/>
        </w:rPr>
      </w:pPr>
      <w:r w:rsidRPr="00432509">
        <w:rPr>
          <w:rFonts w:ascii="Times New Roman" w:hAnsi="Times New Roman" w:cs="Times New Roman"/>
          <w:sz w:val="24"/>
          <w:szCs w:val="24"/>
        </w:rPr>
        <w:t>bezrobotni samotnie wychowujący co najmniej jedno dziecko do 18 roku życia,</w:t>
      </w:r>
    </w:p>
    <w:p w:rsidR="00F21D68" w:rsidRPr="00432509" w:rsidRDefault="00F21D68" w:rsidP="00432509">
      <w:pPr>
        <w:pStyle w:val="Akapitzlist"/>
        <w:numPr>
          <w:ilvl w:val="0"/>
          <w:numId w:val="19"/>
        </w:numPr>
        <w:spacing w:after="0" w:line="360" w:lineRule="auto"/>
        <w:jc w:val="both"/>
        <w:rPr>
          <w:rFonts w:ascii="Times New Roman" w:hAnsi="Times New Roman" w:cs="Times New Roman"/>
          <w:sz w:val="24"/>
          <w:szCs w:val="24"/>
        </w:rPr>
      </w:pPr>
      <w:r w:rsidRPr="00432509">
        <w:rPr>
          <w:rFonts w:ascii="Times New Roman" w:hAnsi="Times New Roman" w:cs="Times New Roman"/>
          <w:sz w:val="24"/>
          <w:szCs w:val="24"/>
        </w:rPr>
        <w:t>bezrobotni, którzy po odbyciu kary pozbawienia wolności nie podjęli zatrudnienia,</w:t>
      </w:r>
    </w:p>
    <w:p w:rsidR="00F21D68" w:rsidRPr="00432509" w:rsidRDefault="00F21D68" w:rsidP="00432509">
      <w:pPr>
        <w:pStyle w:val="Akapitzlist"/>
        <w:numPr>
          <w:ilvl w:val="0"/>
          <w:numId w:val="19"/>
        </w:numPr>
        <w:spacing w:after="0" w:line="360" w:lineRule="auto"/>
        <w:jc w:val="both"/>
        <w:rPr>
          <w:rFonts w:ascii="Times New Roman" w:hAnsi="Times New Roman" w:cs="Times New Roman"/>
          <w:sz w:val="24"/>
          <w:szCs w:val="24"/>
        </w:rPr>
      </w:pPr>
      <w:r w:rsidRPr="00432509">
        <w:rPr>
          <w:rFonts w:ascii="Times New Roman" w:hAnsi="Times New Roman" w:cs="Times New Roman"/>
          <w:sz w:val="24"/>
          <w:szCs w:val="24"/>
        </w:rPr>
        <w:t>bezrobotni niepełnosprawni.</w:t>
      </w:r>
    </w:p>
    <w:p w:rsidR="000741D7" w:rsidRDefault="000741D7" w:rsidP="007F6C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Należy zaznaczyć, że wielu bezrobotnych można zaliczyć jednocześnie do kilku </w:t>
      </w:r>
      <w:r>
        <w:rPr>
          <w:rFonts w:ascii="Times New Roman" w:hAnsi="Times New Roman" w:cs="Times New Roman"/>
          <w:sz w:val="24"/>
          <w:szCs w:val="24"/>
        </w:rPr>
        <w:br/>
        <w:t>z uwzględnionych powyżej kategorii</w:t>
      </w:r>
      <w:r w:rsidR="002B4D4D">
        <w:rPr>
          <w:rFonts w:ascii="Times New Roman" w:hAnsi="Times New Roman" w:cs="Times New Roman"/>
          <w:sz w:val="24"/>
          <w:szCs w:val="24"/>
        </w:rPr>
        <w:t xml:space="preserve">, np. osoba </w:t>
      </w:r>
      <w:r w:rsidR="008005EE">
        <w:rPr>
          <w:rFonts w:ascii="Times New Roman" w:hAnsi="Times New Roman" w:cs="Times New Roman"/>
          <w:sz w:val="24"/>
          <w:szCs w:val="24"/>
        </w:rPr>
        <w:t xml:space="preserve">długotrwale </w:t>
      </w:r>
      <w:r w:rsidR="002B4D4D">
        <w:rPr>
          <w:rFonts w:ascii="Times New Roman" w:hAnsi="Times New Roman" w:cs="Times New Roman"/>
          <w:sz w:val="24"/>
          <w:szCs w:val="24"/>
        </w:rPr>
        <w:t>bezrobotna do 25 roku życia</w:t>
      </w:r>
      <w:r w:rsidR="008005EE">
        <w:rPr>
          <w:rFonts w:ascii="Times New Roman" w:hAnsi="Times New Roman" w:cs="Times New Roman"/>
          <w:sz w:val="24"/>
          <w:szCs w:val="24"/>
        </w:rPr>
        <w:t>, bez kwalifikacji zawodowych.</w:t>
      </w:r>
    </w:p>
    <w:p w:rsidR="000741D7" w:rsidRDefault="000741D7" w:rsidP="00730B52">
      <w:pPr>
        <w:rPr>
          <w:rFonts w:ascii="Times New Roman" w:hAnsi="Times New Roman" w:cs="Times New Roman"/>
          <w:sz w:val="24"/>
          <w:szCs w:val="24"/>
        </w:rPr>
      </w:pPr>
    </w:p>
    <w:p w:rsidR="00E26937" w:rsidRDefault="00E26937" w:rsidP="00730B52">
      <w:r>
        <w:t xml:space="preserve">Wykres </w:t>
      </w:r>
      <w:r w:rsidR="005B172C">
        <w:t>4</w:t>
      </w:r>
      <w:r>
        <w:t>.</w:t>
      </w:r>
      <w:r w:rsidR="00674013">
        <w:t xml:space="preserve"> </w:t>
      </w:r>
      <w:r>
        <w:t>Osoby bezrobotne w szczególnej sytuacji na rynku pracy, w latach 2009-2011</w:t>
      </w:r>
      <w:r w:rsidR="007929E7">
        <w:t xml:space="preserve"> (na koniec danego roku)</w:t>
      </w:r>
    </w:p>
    <w:p w:rsidR="00294289" w:rsidRDefault="0093103A" w:rsidP="00DA5FB9">
      <w:pPr>
        <w:ind w:left="-567" w:hanging="284"/>
      </w:pPr>
      <w:r>
        <w:rPr>
          <w:noProof/>
          <w:lang w:eastAsia="pl-PL"/>
        </w:rPr>
        <w:drawing>
          <wp:inline distT="0" distB="0" distL="0" distR="0" wp14:anchorId="5500E1E7" wp14:editId="13297DA4">
            <wp:extent cx="6734175" cy="3714750"/>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94289" w:rsidRPr="00730B52" w:rsidRDefault="00294289" w:rsidP="00730B52"/>
    <w:p w:rsidR="00D5579F" w:rsidRDefault="00D5579F" w:rsidP="007F6CEA">
      <w:pPr>
        <w:pStyle w:val="Nagwek2"/>
        <w:numPr>
          <w:ilvl w:val="0"/>
          <w:numId w:val="18"/>
        </w:numPr>
        <w:spacing w:before="0" w:line="360" w:lineRule="auto"/>
      </w:pPr>
      <w:bookmarkStart w:id="4" w:name="_Toc333477253"/>
      <w:r>
        <w:lastRenderedPageBreak/>
        <w:t>Struktura bezrobocia według wieku</w:t>
      </w:r>
      <w:bookmarkEnd w:id="4"/>
    </w:p>
    <w:p w:rsidR="00730B52" w:rsidRDefault="00730B52" w:rsidP="00730B52"/>
    <w:p w:rsidR="00B76B73" w:rsidRDefault="00B76B73" w:rsidP="00806155">
      <w:pPr>
        <w:spacing w:after="0" w:line="360" w:lineRule="auto"/>
        <w:ind w:firstLine="709"/>
        <w:jc w:val="both"/>
        <w:rPr>
          <w:rFonts w:ascii="Times New Roman" w:hAnsi="Times New Roman" w:cs="Times New Roman"/>
          <w:sz w:val="24"/>
          <w:szCs w:val="24"/>
        </w:rPr>
      </w:pPr>
      <w:r w:rsidRPr="00B76B73">
        <w:rPr>
          <w:rFonts w:ascii="Times New Roman" w:hAnsi="Times New Roman" w:cs="Times New Roman"/>
          <w:sz w:val="24"/>
          <w:szCs w:val="24"/>
        </w:rPr>
        <w:t xml:space="preserve">Problem bezrobocia </w:t>
      </w:r>
      <w:r w:rsidR="0095079B" w:rsidRPr="00B76B73">
        <w:rPr>
          <w:rFonts w:ascii="Times New Roman" w:hAnsi="Times New Roman" w:cs="Times New Roman"/>
          <w:sz w:val="24"/>
          <w:szCs w:val="24"/>
        </w:rPr>
        <w:t xml:space="preserve">od lat </w:t>
      </w:r>
      <w:r w:rsidRPr="00B76B73">
        <w:rPr>
          <w:rFonts w:ascii="Times New Roman" w:hAnsi="Times New Roman" w:cs="Times New Roman"/>
          <w:sz w:val="24"/>
          <w:szCs w:val="24"/>
        </w:rPr>
        <w:t xml:space="preserve">niezmiennie dotyczy głównie osób młodych, które </w:t>
      </w:r>
      <w:r>
        <w:rPr>
          <w:rFonts w:ascii="Times New Roman" w:hAnsi="Times New Roman" w:cs="Times New Roman"/>
          <w:sz w:val="24"/>
          <w:szCs w:val="24"/>
        </w:rPr>
        <w:t>z uwagi na brak doświadczenia zawodowego mają duże trudności ze znalezieniem zatrudnienia</w:t>
      </w:r>
      <w:r w:rsidR="00F61068">
        <w:rPr>
          <w:rFonts w:ascii="Times New Roman" w:hAnsi="Times New Roman" w:cs="Times New Roman"/>
          <w:sz w:val="24"/>
          <w:szCs w:val="24"/>
        </w:rPr>
        <w:t>.</w:t>
      </w:r>
      <w:r w:rsidR="002E76F5">
        <w:rPr>
          <w:rFonts w:ascii="Times New Roman" w:hAnsi="Times New Roman" w:cs="Times New Roman"/>
          <w:sz w:val="24"/>
          <w:szCs w:val="24"/>
        </w:rPr>
        <w:t xml:space="preserve"> </w:t>
      </w:r>
      <w:r w:rsidR="00F61068">
        <w:rPr>
          <w:rFonts w:ascii="Times New Roman" w:hAnsi="Times New Roman" w:cs="Times New Roman"/>
          <w:sz w:val="24"/>
          <w:szCs w:val="24"/>
        </w:rPr>
        <w:br/>
        <w:t>P</w:t>
      </w:r>
      <w:r w:rsidR="002E76F5">
        <w:rPr>
          <w:rFonts w:ascii="Times New Roman" w:hAnsi="Times New Roman" w:cs="Times New Roman"/>
          <w:sz w:val="24"/>
          <w:szCs w:val="24"/>
        </w:rPr>
        <w:t xml:space="preserve">racodawcy </w:t>
      </w:r>
      <w:r w:rsidR="00F61068">
        <w:rPr>
          <w:rFonts w:ascii="Times New Roman" w:hAnsi="Times New Roman" w:cs="Times New Roman"/>
          <w:sz w:val="24"/>
          <w:szCs w:val="24"/>
        </w:rPr>
        <w:t xml:space="preserve">bowiem znacznie </w:t>
      </w:r>
      <w:r w:rsidR="002E76F5">
        <w:rPr>
          <w:rFonts w:ascii="Times New Roman" w:hAnsi="Times New Roman" w:cs="Times New Roman"/>
          <w:sz w:val="24"/>
          <w:szCs w:val="24"/>
        </w:rPr>
        <w:t xml:space="preserve">chętniej zatrudniają osoby posiadające </w:t>
      </w:r>
      <w:r w:rsidR="00F61068">
        <w:rPr>
          <w:rFonts w:ascii="Times New Roman" w:hAnsi="Times New Roman" w:cs="Times New Roman"/>
          <w:sz w:val="24"/>
          <w:szCs w:val="24"/>
        </w:rPr>
        <w:t xml:space="preserve">już </w:t>
      </w:r>
      <w:r w:rsidR="002E76F5">
        <w:rPr>
          <w:rFonts w:ascii="Times New Roman" w:hAnsi="Times New Roman" w:cs="Times New Roman"/>
          <w:sz w:val="24"/>
          <w:szCs w:val="24"/>
        </w:rPr>
        <w:t>staż zawodowy</w:t>
      </w:r>
      <w:r w:rsidR="00DA162A">
        <w:rPr>
          <w:rFonts w:ascii="Times New Roman" w:hAnsi="Times New Roman" w:cs="Times New Roman"/>
          <w:sz w:val="24"/>
          <w:szCs w:val="24"/>
        </w:rPr>
        <w:t xml:space="preserve">, </w:t>
      </w:r>
      <w:r w:rsidR="00DA162A">
        <w:rPr>
          <w:rFonts w:ascii="Times New Roman" w:hAnsi="Times New Roman" w:cs="Times New Roman"/>
          <w:sz w:val="24"/>
          <w:szCs w:val="24"/>
        </w:rPr>
        <w:br/>
        <w:t>a jednocześnie sami absolwenci mają nierzadko wysokie wymagania dotyczące wielkości wynagrodzenia w pierwszej podejmowanej przez nich pracy</w:t>
      </w:r>
      <w:r>
        <w:rPr>
          <w:rFonts w:ascii="Times New Roman" w:hAnsi="Times New Roman" w:cs="Times New Roman"/>
          <w:sz w:val="24"/>
          <w:szCs w:val="24"/>
        </w:rPr>
        <w:t xml:space="preserve">. </w:t>
      </w:r>
      <w:r w:rsidR="00081BC1">
        <w:rPr>
          <w:rFonts w:ascii="Times New Roman" w:hAnsi="Times New Roman" w:cs="Times New Roman"/>
          <w:sz w:val="24"/>
          <w:szCs w:val="24"/>
        </w:rPr>
        <w:t>Wskaźnik bezrobocia wśród o</w:t>
      </w:r>
      <w:r w:rsidR="0095079B">
        <w:rPr>
          <w:rFonts w:ascii="Times New Roman" w:hAnsi="Times New Roman" w:cs="Times New Roman"/>
          <w:sz w:val="24"/>
          <w:szCs w:val="24"/>
        </w:rPr>
        <w:t>s</w:t>
      </w:r>
      <w:r w:rsidR="00081BC1">
        <w:rPr>
          <w:rFonts w:ascii="Times New Roman" w:hAnsi="Times New Roman" w:cs="Times New Roman"/>
          <w:sz w:val="24"/>
          <w:szCs w:val="24"/>
        </w:rPr>
        <w:t>ób</w:t>
      </w:r>
      <w:r w:rsidR="0095079B">
        <w:rPr>
          <w:rFonts w:ascii="Times New Roman" w:hAnsi="Times New Roman" w:cs="Times New Roman"/>
          <w:sz w:val="24"/>
          <w:szCs w:val="24"/>
        </w:rPr>
        <w:t xml:space="preserve"> bezrobotn</w:t>
      </w:r>
      <w:r w:rsidR="00081BC1">
        <w:rPr>
          <w:rFonts w:ascii="Times New Roman" w:hAnsi="Times New Roman" w:cs="Times New Roman"/>
          <w:sz w:val="24"/>
          <w:szCs w:val="24"/>
        </w:rPr>
        <w:t>ych</w:t>
      </w:r>
      <w:r w:rsidR="0095079B">
        <w:rPr>
          <w:rFonts w:ascii="Times New Roman" w:hAnsi="Times New Roman" w:cs="Times New Roman"/>
          <w:sz w:val="24"/>
          <w:szCs w:val="24"/>
        </w:rPr>
        <w:t xml:space="preserve"> </w:t>
      </w:r>
      <w:r w:rsidR="00081BC1">
        <w:rPr>
          <w:rFonts w:ascii="Times New Roman" w:hAnsi="Times New Roman" w:cs="Times New Roman"/>
          <w:sz w:val="24"/>
          <w:szCs w:val="24"/>
        </w:rPr>
        <w:t>w wieku</w:t>
      </w:r>
      <w:r w:rsidR="0095079B">
        <w:rPr>
          <w:rFonts w:ascii="Times New Roman" w:hAnsi="Times New Roman" w:cs="Times New Roman"/>
          <w:sz w:val="24"/>
          <w:szCs w:val="24"/>
        </w:rPr>
        <w:t xml:space="preserve"> 18-24 oraz 25-34 </w:t>
      </w:r>
      <w:r w:rsidR="00081BC1">
        <w:rPr>
          <w:rFonts w:ascii="Times New Roman" w:hAnsi="Times New Roman" w:cs="Times New Roman"/>
          <w:sz w:val="24"/>
          <w:szCs w:val="24"/>
        </w:rPr>
        <w:t>jest zdecydowanie wyższy</w:t>
      </w:r>
      <w:r w:rsidR="005B172C">
        <w:rPr>
          <w:rFonts w:ascii="Times New Roman" w:hAnsi="Times New Roman" w:cs="Times New Roman"/>
          <w:sz w:val="24"/>
          <w:szCs w:val="24"/>
        </w:rPr>
        <w:t>,</w:t>
      </w:r>
      <w:r w:rsidR="00081BC1">
        <w:rPr>
          <w:rFonts w:ascii="Times New Roman" w:hAnsi="Times New Roman" w:cs="Times New Roman"/>
          <w:sz w:val="24"/>
          <w:szCs w:val="24"/>
        </w:rPr>
        <w:t xml:space="preserve"> niż w pozostałych kategoriach wiekowych</w:t>
      </w:r>
      <w:r w:rsidR="00A16E63">
        <w:rPr>
          <w:rFonts w:ascii="Times New Roman" w:hAnsi="Times New Roman" w:cs="Times New Roman"/>
          <w:sz w:val="24"/>
          <w:szCs w:val="24"/>
        </w:rPr>
        <w:t xml:space="preserve"> i wynosił </w:t>
      </w:r>
      <w:r w:rsidR="0095079B">
        <w:rPr>
          <w:rFonts w:ascii="Times New Roman" w:hAnsi="Times New Roman" w:cs="Times New Roman"/>
          <w:sz w:val="24"/>
          <w:szCs w:val="24"/>
        </w:rPr>
        <w:t xml:space="preserve">w latach 2009-2011 </w:t>
      </w:r>
      <w:r w:rsidR="00A16E63">
        <w:rPr>
          <w:rFonts w:ascii="Times New Roman" w:hAnsi="Times New Roman" w:cs="Times New Roman"/>
          <w:sz w:val="24"/>
          <w:szCs w:val="24"/>
        </w:rPr>
        <w:t>średnio</w:t>
      </w:r>
      <w:r w:rsidR="0040321F">
        <w:rPr>
          <w:rFonts w:ascii="Times New Roman" w:hAnsi="Times New Roman" w:cs="Times New Roman"/>
          <w:sz w:val="24"/>
          <w:szCs w:val="24"/>
        </w:rPr>
        <w:t xml:space="preserve"> około 55% ogółu bezrobotnych.</w:t>
      </w:r>
      <w:r w:rsidR="00444BFF">
        <w:rPr>
          <w:rFonts w:ascii="Times New Roman" w:hAnsi="Times New Roman" w:cs="Times New Roman"/>
          <w:sz w:val="24"/>
          <w:szCs w:val="24"/>
        </w:rPr>
        <w:t xml:space="preserve"> Tak wysokie wartości bezrobocia wśród młodych ludzi wynikają także </w:t>
      </w:r>
      <w:r w:rsidR="00DA162A">
        <w:rPr>
          <w:rFonts w:ascii="Times New Roman" w:hAnsi="Times New Roman" w:cs="Times New Roman"/>
          <w:sz w:val="24"/>
          <w:szCs w:val="24"/>
        </w:rPr>
        <w:br/>
      </w:r>
      <w:r w:rsidR="00444BFF">
        <w:rPr>
          <w:rFonts w:ascii="Times New Roman" w:hAnsi="Times New Roman" w:cs="Times New Roman"/>
          <w:sz w:val="24"/>
          <w:szCs w:val="24"/>
        </w:rPr>
        <w:t>z problemu niedopasowania kierunków kształcenia do zapotrzebowania pracodawców na wielkopolskim rynku pracy.</w:t>
      </w:r>
    </w:p>
    <w:p w:rsidR="00F970C6" w:rsidRDefault="0080410E" w:rsidP="0081768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Osoby bezrobotne powyżej 45 roku życia</w:t>
      </w:r>
      <w:r w:rsidR="005B172C">
        <w:rPr>
          <w:rFonts w:ascii="Times New Roman" w:hAnsi="Times New Roman" w:cs="Times New Roman"/>
          <w:sz w:val="24"/>
          <w:szCs w:val="24"/>
        </w:rPr>
        <w:t>,</w:t>
      </w:r>
      <w:r>
        <w:rPr>
          <w:rFonts w:ascii="Times New Roman" w:hAnsi="Times New Roman" w:cs="Times New Roman"/>
          <w:sz w:val="24"/>
          <w:szCs w:val="24"/>
        </w:rPr>
        <w:t xml:space="preserve"> również pozostają w szczególnej sytuacji na rynku pracy. Ich udział w całej populacji bezrobotnych utrzymywał na przestrzeni trzech analizowanych lat zbliżone, dość wysokie wartości</w:t>
      </w:r>
      <w:r w:rsidR="007D57CF">
        <w:rPr>
          <w:rFonts w:ascii="Times New Roman" w:hAnsi="Times New Roman" w:cs="Times New Roman"/>
          <w:sz w:val="24"/>
          <w:szCs w:val="24"/>
        </w:rPr>
        <w:t xml:space="preserve"> (średnio ok</w:t>
      </w:r>
      <w:r w:rsidR="00D14115">
        <w:rPr>
          <w:rFonts w:ascii="Times New Roman" w:hAnsi="Times New Roman" w:cs="Times New Roman"/>
          <w:sz w:val="24"/>
          <w:szCs w:val="24"/>
        </w:rPr>
        <w:t>.</w:t>
      </w:r>
      <w:r w:rsidR="007D57CF">
        <w:rPr>
          <w:rFonts w:ascii="Times New Roman" w:hAnsi="Times New Roman" w:cs="Times New Roman"/>
          <w:sz w:val="24"/>
          <w:szCs w:val="24"/>
        </w:rPr>
        <w:t xml:space="preserve"> 27%)</w:t>
      </w:r>
      <w:r>
        <w:rPr>
          <w:rFonts w:ascii="Times New Roman" w:hAnsi="Times New Roman" w:cs="Times New Roman"/>
          <w:sz w:val="24"/>
          <w:szCs w:val="24"/>
        </w:rPr>
        <w:t xml:space="preserve">. </w:t>
      </w:r>
      <w:r w:rsidR="005B172C">
        <w:rPr>
          <w:rFonts w:ascii="Times New Roman" w:hAnsi="Times New Roman" w:cs="Times New Roman"/>
          <w:sz w:val="24"/>
          <w:szCs w:val="24"/>
        </w:rPr>
        <w:t>Największą grupę wśród tej kategorii bezrobotnych stanowiły osoby w wieku 45-54 lata</w:t>
      </w:r>
      <w:r w:rsidR="00D14115">
        <w:rPr>
          <w:rFonts w:ascii="Times New Roman" w:hAnsi="Times New Roman" w:cs="Times New Roman"/>
          <w:sz w:val="24"/>
          <w:szCs w:val="24"/>
        </w:rPr>
        <w:t xml:space="preserve"> (średnio ok. 69</w:t>
      </w:r>
      <w:r w:rsidR="007D57CF">
        <w:rPr>
          <w:rFonts w:ascii="Times New Roman" w:hAnsi="Times New Roman" w:cs="Times New Roman"/>
          <w:sz w:val="24"/>
          <w:szCs w:val="24"/>
        </w:rPr>
        <w:t xml:space="preserve">%). </w:t>
      </w:r>
    </w:p>
    <w:p w:rsidR="00F970C6" w:rsidRDefault="00F970C6" w:rsidP="0095079B">
      <w:pPr>
        <w:spacing w:line="360" w:lineRule="auto"/>
        <w:ind w:firstLine="708"/>
        <w:jc w:val="both"/>
        <w:rPr>
          <w:rFonts w:ascii="Times New Roman" w:hAnsi="Times New Roman" w:cs="Times New Roman"/>
          <w:sz w:val="24"/>
          <w:szCs w:val="24"/>
        </w:rPr>
      </w:pPr>
    </w:p>
    <w:p w:rsidR="00B76B73" w:rsidRDefault="00B76B73" w:rsidP="00730B52">
      <w:pPr>
        <w:rPr>
          <w:rFonts w:cstheme="minorHAnsi"/>
        </w:rPr>
      </w:pPr>
      <w:r w:rsidRPr="007562F9">
        <w:rPr>
          <w:rFonts w:cstheme="minorHAnsi"/>
        </w:rPr>
        <w:t>Wykres</w:t>
      </w:r>
      <w:r w:rsidR="00806155">
        <w:rPr>
          <w:rFonts w:cstheme="minorHAnsi"/>
        </w:rPr>
        <w:t xml:space="preserve"> </w:t>
      </w:r>
      <w:r w:rsidR="005B172C">
        <w:rPr>
          <w:rFonts w:cstheme="minorHAnsi"/>
        </w:rPr>
        <w:t>5</w:t>
      </w:r>
      <w:r w:rsidR="00806155">
        <w:rPr>
          <w:rFonts w:cstheme="minorHAnsi"/>
        </w:rPr>
        <w:t xml:space="preserve">. </w:t>
      </w:r>
      <w:r w:rsidR="00E605D8" w:rsidRPr="007562F9">
        <w:rPr>
          <w:rFonts w:cstheme="minorHAnsi"/>
        </w:rPr>
        <w:t xml:space="preserve">Struktura osób bezrobotnych według wieku </w:t>
      </w:r>
      <w:r w:rsidR="00F7177F">
        <w:rPr>
          <w:rFonts w:cstheme="minorHAnsi"/>
        </w:rPr>
        <w:t>(</w:t>
      </w:r>
      <w:r w:rsidR="00E605D8" w:rsidRPr="007562F9">
        <w:rPr>
          <w:rFonts w:cstheme="minorHAnsi"/>
        </w:rPr>
        <w:t>na koniec danego roku</w:t>
      </w:r>
      <w:r w:rsidR="00F7177F">
        <w:rPr>
          <w:rFonts w:cstheme="minorHAnsi"/>
        </w:rPr>
        <w:t>)</w:t>
      </w:r>
    </w:p>
    <w:p w:rsidR="00806155" w:rsidRPr="007562F9" w:rsidRDefault="00806155" w:rsidP="00730B52">
      <w:pPr>
        <w:rPr>
          <w:rFonts w:cstheme="minorHAnsi"/>
        </w:rPr>
      </w:pPr>
    </w:p>
    <w:p w:rsidR="00B76B73" w:rsidRDefault="00817688" w:rsidP="00730B52">
      <w:pPr>
        <w:rPr>
          <w:rFonts w:ascii="Times New Roman" w:hAnsi="Times New Roman" w:cs="Times New Roman"/>
          <w:sz w:val="24"/>
          <w:szCs w:val="24"/>
        </w:rPr>
      </w:pPr>
      <w:r>
        <w:rPr>
          <w:noProof/>
          <w:lang w:eastAsia="pl-PL"/>
        </w:rPr>
        <w:drawing>
          <wp:inline distT="0" distB="0" distL="0" distR="0" wp14:anchorId="4B9F6E8E" wp14:editId="3E611195">
            <wp:extent cx="5572126" cy="3419475"/>
            <wp:effectExtent l="0" t="0" r="0" b="0"/>
            <wp:docPr id="30" name="Wykres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5579F" w:rsidRDefault="00D5579F" w:rsidP="007F6CEA">
      <w:pPr>
        <w:pStyle w:val="Nagwek2"/>
        <w:numPr>
          <w:ilvl w:val="0"/>
          <w:numId w:val="18"/>
        </w:numPr>
        <w:spacing w:before="0" w:line="360" w:lineRule="auto"/>
      </w:pPr>
      <w:bookmarkStart w:id="5" w:name="_Toc333477254"/>
      <w:r>
        <w:lastRenderedPageBreak/>
        <w:t xml:space="preserve">Bezrobotni </w:t>
      </w:r>
      <w:r w:rsidR="006B5EB9">
        <w:t xml:space="preserve">do 25 i powyżej 50 roku życia </w:t>
      </w:r>
      <w:r>
        <w:t>według wykształcenia</w:t>
      </w:r>
      <w:bookmarkEnd w:id="5"/>
    </w:p>
    <w:p w:rsidR="00B76B73" w:rsidRDefault="00B76B73" w:rsidP="00A4057A">
      <w:pPr>
        <w:jc w:val="both"/>
      </w:pPr>
    </w:p>
    <w:p w:rsidR="00B76B73" w:rsidRDefault="00A16E63" w:rsidP="002D17E2">
      <w:pPr>
        <w:spacing w:line="360" w:lineRule="auto"/>
        <w:ind w:firstLine="708"/>
        <w:jc w:val="both"/>
        <w:rPr>
          <w:rFonts w:ascii="Times New Roman" w:hAnsi="Times New Roman" w:cs="Times New Roman"/>
          <w:sz w:val="24"/>
          <w:szCs w:val="24"/>
        </w:rPr>
      </w:pPr>
      <w:r w:rsidRPr="00A16E63">
        <w:rPr>
          <w:rFonts w:ascii="Times New Roman" w:hAnsi="Times New Roman" w:cs="Times New Roman"/>
          <w:sz w:val="24"/>
          <w:szCs w:val="24"/>
        </w:rPr>
        <w:t xml:space="preserve">Większość młodych osób zarejestrowanych w wielkopolskich </w:t>
      </w:r>
      <w:r w:rsidR="00F7177F">
        <w:rPr>
          <w:rFonts w:ascii="Times New Roman" w:hAnsi="Times New Roman" w:cs="Times New Roman"/>
          <w:sz w:val="24"/>
          <w:szCs w:val="24"/>
        </w:rPr>
        <w:t>p</w:t>
      </w:r>
      <w:r w:rsidRPr="00A16E63">
        <w:rPr>
          <w:rFonts w:ascii="Times New Roman" w:hAnsi="Times New Roman" w:cs="Times New Roman"/>
          <w:sz w:val="24"/>
          <w:szCs w:val="24"/>
        </w:rPr>
        <w:t xml:space="preserve">owiatowych </w:t>
      </w:r>
      <w:r w:rsidR="00F7177F">
        <w:rPr>
          <w:rFonts w:ascii="Times New Roman" w:hAnsi="Times New Roman" w:cs="Times New Roman"/>
          <w:sz w:val="24"/>
          <w:szCs w:val="24"/>
        </w:rPr>
        <w:t>urzędach p</w:t>
      </w:r>
      <w:r w:rsidRPr="00A16E63">
        <w:rPr>
          <w:rFonts w:ascii="Times New Roman" w:hAnsi="Times New Roman" w:cs="Times New Roman"/>
          <w:sz w:val="24"/>
          <w:szCs w:val="24"/>
        </w:rPr>
        <w:t>racy</w:t>
      </w:r>
      <w:r w:rsidR="00A4057A">
        <w:rPr>
          <w:rFonts w:ascii="Times New Roman" w:hAnsi="Times New Roman" w:cs="Times New Roman"/>
          <w:sz w:val="24"/>
          <w:szCs w:val="24"/>
        </w:rPr>
        <w:t xml:space="preserve"> legitymuje się wykształceniem policealnym i średnim zawodowym oraz zasadniczym zawodowym.</w:t>
      </w:r>
      <w:r w:rsidR="009938C4">
        <w:rPr>
          <w:rFonts w:ascii="Times New Roman" w:hAnsi="Times New Roman" w:cs="Times New Roman"/>
          <w:sz w:val="24"/>
          <w:szCs w:val="24"/>
        </w:rPr>
        <w:t xml:space="preserve"> </w:t>
      </w:r>
      <w:r w:rsidR="002D17E2">
        <w:rPr>
          <w:rFonts w:ascii="Times New Roman" w:hAnsi="Times New Roman" w:cs="Times New Roman"/>
          <w:sz w:val="24"/>
          <w:szCs w:val="24"/>
        </w:rPr>
        <w:t xml:space="preserve">Rosnące wymagania pracodawców wobec młodych osób, skłaniają je do podejmowania nauki na uczelniach wyższych, co jednak także nie jest gwarantem znalezienia zatrudnienia. Około 3 tys. osób </w:t>
      </w:r>
      <w:r w:rsidR="003A681A">
        <w:rPr>
          <w:rFonts w:ascii="Times New Roman" w:hAnsi="Times New Roman" w:cs="Times New Roman"/>
          <w:sz w:val="24"/>
          <w:szCs w:val="24"/>
        </w:rPr>
        <w:t xml:space="preserve">do 25 roku życia </w:t>
      </w:r>
      <w:r w:rsidR="002D17E2">
        <w:rPr>
          <w:rFonts w:ascii="Times New Roman" w:hAnsi="Times New Roman" w:cs="Times New Roman"/>
          <w:sz w:val="24"/>
          <w:szCs w:val="24"/>
        </w:rPr>
        <w:t xml:space="preserve">z wyższym wykształceniem znajdowało się </w:t>
      </w:r>
      <w:r w:rsidR="00E605D8">
        <w:rPr>
          <w:rFonts w:ascii="Times New Roman" w:hAnsi="Times New Roman" w:cs="Times New Roman"/>
          <w:sz w:val="24"/>
          <w:szCs w:val="24"/>
        </w:rPr>
        <w:t xml:space="preserve">w </w:t>
      </w:r>
      <w:r w:rsidR="0083261D">
        <w:rPr>
          <w:rFonts w:ascii="Times New Roman" w:hAnsi="Times New Roman" w:cs="Times New Roman"/>
          <w:sz w:val="24"/>
          <w:szCs w:val="24"/>
        </w:rPr>
        <w:t>każdym analizowanym roku</w:t>
      </w:r>
      <w:r w:rsidR="00E605D8">
        <w:rPr>
          <w:rFonts w:ascii="Times New Roman" w:hAnsi="Times New Roman" w:cs="Times New Roman"/>
          <w:sz w:val="24"/>
          <w:szCs w:val="24"/>
        </w:rPr>
        <w:t xml:space="preserve"> </w:t>
      </w:r>
      <w:r w:rsidR="002D17E2">
        <w:rPr>
          <w:rFonts w:ascii="Times New Roman" w:hAnsi="Times New Roman" w:cs="Times New Roman"/>
          <w:sz w:val="24"/>
          <w:szCs w:val="24"/>
        </w:rPr>
        <w:t>w ewidencji urzędów pracy.</w:t>
      </w:r>
      <w:r w:rsidR="009938C4">
        <w:rPr>
          <w:rFonts w:ascii="Times New Roman" w:hAnsi="Times New Roman" w:cs="Times New Roman"/>
          <w:sz w:val="24"/>
          <w:szCs w:val="24"/>
        </w:rPr>
        <w:t xml:space="preserve"> </w:t>
      </w:r>
    </w:p>
    <w:p w:rsidR="009D0593" w:rsidRDefault="009D0593" w:rsidP="00EC59F7">
      <w:pPr>
        <w:spacing w:line="360" w:lineRule="auto"/>
        <w:jc w:val="both"/>
        <w:rPr>
          <w:rFonts w:ascii="Times New Roman" w:hAnsi="Times New Roman" w:cs="Times New Roman"/>
          <w:sz w:val="24"/>
          <w:szCs w:val="24"/>
        </w:rPr>
      </w:pPr>
    </w:p>
    <w:p w:rsidR="00B76B73" w:rsidRDefault="00B76B73" w:rsidP="00B76B73">
      <w:r>
        <w:t>Wykres</w:t>
      </w:r>
      <w:r w:rsidR="00806155">
        <w:t xml:space="preserve"> </w:t>
      </w:r>
      <w:r w:rsidR="007D57CF">
        <w:t>6</w:t>
      </w:r>
      <w:r w:rsidR="00806155">
        <w:t xml:space="preserve">. </w:t>
      </w:r>
      <w:r w:rsidR="003A681A">
        <w:t xml:space="preserve">Liczba osób bezrobotnych </w:t>
      </w:r>
      <w:r>
        <w:t>do 25 roku życia</w:t>
      </w:r>
      <w:r w:rsidR="003A681A">
        <w:t xml:space="preserve"> według wykształcenia </w:t>
      </w:r>
      <w:r w:rsidR="00F7177F">
        <w:t>(</w:t>
      </w:r>
      <w:r w:rsidR="003A681A">
        <w:t>na koniec danego roku</w:t>
      </w:r>
      <w:r w:rsidR="00F7177F">
        <w:t>)</w:t>
      </w:r>
    </w:p>
    <w:p w:rsidR="00730B52" w:rsidRDefault="00B76B73" w:rsidP="00730B52">
      <w:r>
        <w:rPr>
          <w:noProof/>
          <w:lang w:eastAsia="pl-PL"/>
        </w:rPr>
        <w:drawing>
          <wp:inline distT="0" distB="0" distL="0" distR="0" wp14:anchorId="2CEC4C5C" wp14:editId="003A26FD">
            <wp:extent cx="5629275" cy="2457450"/>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83FFD" w:rsidRDefault="00D83FFD" w:rsidP="00E605D8">
      <w:pPr>
        <w:spacing w:line="360" w:lineRule="auto"/>
        <w:ind w:firstLine="708"/>
        <w:jc w:val="both"/>
        <w:rPr>
          <w:rFonts w:ascii="Times New Roman" w:hAnsi="Times New Roman" w:cs="Times New Roman"/>
          <w:sz w:val="24"/>
          <w:szCs w:val="24"/>
        </w:rPr>
      </w:pPr>
    </w:p>
    <w:p w:rsidR="00B76B73" w:rsidRDefault="00E605D8" w:rsidP="00E605D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Spośród</w:t>
      </w:r>
      <w:r w:rsidR="003A681A" w:rsidRPr="003A681A">
        <w:rPr>
          <w:rFonts w:ascii="Times New Roman" w:hAnsi="Times New Roman" w:cs="Times New Roman"/>
          <w:sz w:val="24"/>
          <w:szCs w:val="24"/>
        </w:rPr>
        <w:t xml:space="preserve"> osób bezrobotnych powyżej 50 roku życia</w:t>
      </w:r>
      <w:r w:rsidR="007D57CF">
        <w:rPr>
          <w:rFonts w:ascii="Times New Roman" w:hAnsi="Times New Roman" w:cs="Times New Roman"/>
          <w:sz w:val="24"/>
          <w:szCs w:val="24"/>
        </w:rPr>
        <w:t>,</w:t>
      </w:r>
      <w:r w:rsidR="003A681A" w:rsidRPr="003A681A">
        <w:rPr>
          <w:rFonts w:ascii="Times New Roman" w:hAnsi="Times New Roman" w:cs="Times New Roman"/>
          <w:sz w:val="24"/>
          <w:szCs w:val="24"/>
        </w:rPr>
        <w:t xml:space="preserve"> </w:t>
      </w:r>
      <w:r>
        <w:rPr>
          <w:rFonts w:ascii="Times New Roman" w:hAnsi="Times New Roman" w:cs="Times New Roman"/>
          <w:sz w:val="24"/>
          <w:szCs w:val="24"/>
        </w:rPr>
        <w:t xml:space="preserve">przeważają osoby posiadające wykształcenie gimnazjalne i poniżej, </w:t>
      </w:r>
      <w:r w:rsidR="009D0593">
        <w:rPr>
          <w:rFonts w:ascii="Times New Roman" w:hAnsi="Times New Roman" w:cs="Times New Roman"/>
          <w:sz w:val="24"/>
          <w:szCs w:val="24"/>
        </w:rPr>
        <w:t xml:space="preserve">stanowiły one w trzech ostatnich latach średnio ponad </w:t>
      </w:r>
      <w:r w:rsidR="0049056D">
        <w:rPr>
          <w:rFonts w:ascii="Times New Roman" w:hAnsi="Times New Roman" w:cs="Times New Roman"/>
          <w:sz w:val="24"/>
          <w:szCs w:val="24"/>
        </w:rPr>
        <w:t>3</w:t>
      </w:r>
      <w:r w:rsidR="00D14115">
        <w:rPr>
          <w:rFonts w:ascii="Times New Roman" w:hAnsi="Times New Roman" w:cs="Times New Roman"/>
          <w:sz w:val="24"/>
          <w:szCs w:val="24"/>
        </w:rPr>
        <w:t>8</w:t>
      </w:r>
      <w:r w:rsidR="009D0593">
        <w:rPr>
          <w:rFonts w:ascii="Times New Roman" w:hAnsi="Times New Roman" w:cs="Times New Roman"/>
          <w:sz w:val="24"/>
          <w:szCs w:val="24"/>
        </w:rPr>
        <w:t>% ogółu zarejestrowanych bezrobotnych</w:t>
      </w:r>
      <w:r w:rsidR="0049056D">
        <w:rPr>
          <w:rFonts w:ascii="Times New Roman" w:hAnsi="Times New Roman" w:cs="Times New Roman"/>
          <w:sz w:val="24"/>
          <w:szCs w:val="24"/>
        </w:rPr>
        <w:t xml:space="preserve"> w tej kategorii wiekowej</w:t>
      </w:r>
      <w:r w:rsidR="009D0593">
        <w:rPr>
          <w:rFonts w:ascii="Times New Roman" w:hAnsi="Times New Roman" w:cs="Times New Roman"/>
          <w:sz w:val="24"/>
          <w:szCs w:val="24"/>
        </w:rPr>
        <w:t>.</w:t>
      </w:r>
      <w:r>
        <w:rPr>
          <w:rFonts w:ascii="Times New Roman" w:hAnsi="Times New Roman" w:cs="Times New Roman"/>
          <w:sz w:val="24"/>
          <w:szCs w:val="24"/>
        </w:rPr>
        <w:t xml:space="preserve"> Nieznacznie mniejszą grupę stanowią bezrobotni z wykształceniem zasadniczym zawodowym</w:t>
      </w:r>
      <w:r w:rsidR="009D0593">
        <w:rPr>
          <w:rFonts w:ascii="Times New Roman" w:hAnsi="Times New Roman" w:cs="Times New Roman"/>
          <w:sz w:val="24"/>
          <w:szCs w:val="24"/>
        </w:rPr>
        <w:t xml:space="preserve">, ich liczba </w:t>
      </w:r>
      <w:r w:rsidR="0083261D">
        <w:rPr>
          <w:rFonts w:ascii="Times New Roman" w:hAnsi="Times New Roman" w:cs="Times New Roman"/>
          <w:sz w:val="24"/>
          <w:szCs w:val="24"/>
        </w:rPr>
        <w:t>wzrosła</w:t>
      </w:r>
      <w:r w:rsidR="009D0593">
        <w:rPr>
          <w:rFonts w:ascii="Times New Roman" w:hAnsi="Times New Roman" w:cs="Times New Roman"/>
          <w:sz w:val="24"/>
          <w:szCs w:val="24"/>
        </w:rPr>
        <w:t xml:space="preserve"> </w:t>
      </w:r>
      <w:r w:rsidR="00BC2E0A">
        <w:rPr>
          <w:rFonts w:ascii="Times New Roman" w:hAnsi="Times New Roman" w:cs="Times New Roman"/>
          <w:sz w:val="24"/>
          <w:szCs w:val="24"/>
        </w:rPr>
        <w:br/>
      </w:r>
      <w:r w:rsidR="009D0593">
        <w:rPr>
          <w:rFonts w:ascii="Times New Roman" w:hAnsi="Times New Roman" w:cs="Times New Roman"/>
          <w:sz w:val="24"/>
          <w:szCs w:val="24"/>
        </w:rPr>
        <w:t xml:space="preserve">w tym okresie </w:t>
      </w:r>
      <w:r w:rsidR="00D14115">
        <w:rPr>
          <w:rFonts w:ascii="Times New Roman" w:hAnsi="Times New Roman" w:cs="Times New Roman"/>
          <w:sz w:val="24"/>
          <w:szCs w:val="24"/>
        </w:rPr>
        <w:t>z</w:t>
      </w:r>
      <w:r w:rsidR="0083261D">
        <w:rPr>
          <w:rFonts w:ascii="Times New Roman" w:hAnsi="Times New Roman" w:cs="Times New Roman"/>
          <w:sz w:val="24"/>
          <w:szCs w:val="24"/>
        </w:rPr>
        <w:t xml:space="preserve"> </w:t>
      </w:r>
      <w:r w:rsidR="009D0593">
        <w:rPr>
          <w:rFonts w:ascii="Times New Roman" w:hAnsi="Times New Roman" w:cs="Times New Roman"/>
          <w:sz w:val="24"/>
          <w:szCs w:val="24"/>
        </w:rPr>
        <w:t xml:space="preserve">8 032 w 2009 roku </w:t>
      </w:r>
      <w:r w:rsidR="0083261D">
        <w:rPr>
          <w:rFonts w:ascii="Times New Roman" w:hAnsi="Times New Roman" w:cs="Times New Roman"/>
          <w:sz w:val="24"/>
          <w:szCs w:val="24"/>
        </w:rPr>
        <w:t>do</w:t>
      </w:r>
      <w:r w:rsidR="009D0593">
        <w:rPr>
          <w:rFonts w:ascii="Times New Roman" w:hAnsi="Times New Roman" w:cs="Times New Roman"/>
          <w:sz w:val="24"/>
          <w:szCs w:val="24"/>
        </w:rPr>
        <w:t xml:space="preserve"> 9 352 osób w roku 2011.</w:t>
      </w:r>
    </w:p>
    <w:p w:rsidR="007D57CF" w:rsidRDefault="007D57CF" w:rsidP="00FE3069">
      <w:pPr>
        <w:spacing w:line="240" w:lineRule="auto"/>
        <w:ind w:firstLine="708"/>
        <w:jc w:val="both"/>
        <w:rPr>
          <w:rFonts w:ascii="Times New Roman" w:hAnsi="Times New Roman" w:cs="Times New Roman"/>
          <w:sz w:val="24"/>
          <w:szCs w:val="24"/>
        </w:rPr>
      </w:pPr>
    </w:p>
    <w:p w:rsidR="00243D2C" w:rsidRDefault="00243D2C" w:rsidP="00FE3069">
      <w:pPr>
        <w:spacing w:line="240" w:lineRule="auto"/>
        <w:ind w:firstLine="708"/>
        <w:jc w:val="both"/>
        <w:rPr>
          <w:rFonts w:ascii="Times New Roman" w:hAnsi="Times New Roman" w:cs="Times New Roman"/>
          <w:sz w:val="24"/>
          <w:szCs w:val="24"/>
        </w:rPr>
      </w:pPr>
    </w:p>
    <w:p w:rsidR="00243D2C" w:rsidRDefault="00243D2C" w:rsidP="00FE3069">
      <w:pPr>
        <w:spacing w:line="240" w:lineRule="auto"/>
        <w:ind w:firstLine="708"/>
        <w:jc w:val="both"/>
        <w:rPr>
          <w:rFonts w:ascii="Times New Roman" w:hAnsi="Times New Roman" w:cs="Times New Roman"/>
          <w:sz w:val="24"/>
          <w:szCs w:val="24"/>
        </w:rPr>
      </w:pPr>
    </w:p>
    <w:p w:rsidR="005D6A7E" w:rsidRPr="003A681A" w:rsidRDefault="005D6A7E" w:rsidP="00FE3069">
      <w:pPr>
        <w:spacing w:line="240" w:lineRule="auto"/>
        <w:ind w:firstLine="708"/>
        <w:jc w:val="both"/>
        <w:rPr>
          <w:rFonts w:ascii="Times New Roman" w:hAnsi="Times New Roman" w:cs="Times New Roman"/>
          <w:sz w:val="24"/>
          <w:szCs w:val="24"/>
        </w:rPr>
      </w:pPr>
    </w:p>
    <w:p w:rsidR="00B76B73" w:rsidRDefault="00B76B73" w:rsidP="00730B52">
      <w:r>
        <w:lastRenderedPageBreak/>
        <w:t>Wykres</w:t>
      </w:r>
      <w:r w:rsidR="00806155">
        <w:t xml:space="preserve"> </w:t>
      </w:r>
      <w:r w:rsidR="007D57CF">
        <w:t>7</w:t>
      </w:r>
      <w:r w:rsidR="00806155">
        <w:t xml:space="preserve">. </w:t>
      </w:r>
      <w:r w:rsidR="003A681A">
        <w:t xml:space="preserve">Liczba osób bezrobotnych </w:t>
      </w:r>
      <w:r>
        <w:t>powyżej 50 roku życia</w:t>
      </w:r>
      <w:r w:rsidR="003A681A">
        <w:t xml:space="preserve"> według wykształcenia </w:t>
      </w:r>
      <w:r w:rsidR="00CC7849">
        <w:t>(</w:t>
      </w:r>
      <w:r w:rsidR="003A681A">
        <w:t>na koniec danego roku</w:t>
      </w:r>
      <w:r w:rsidR="00CC7849">
        <w:t>)</w:t>
      </w:r>
    </w:p>
    <w:p w:rsidR="00806155" w:rsidRDefault="00B76B73" w:rsidP="00730B52">
      <w:r>
        <w:rPr>
          <w:noProof/>
          <w:lang w:eastAsia="pl-PL"/>
        </w:rPr>
        <w:drawing>
          <wp:inline distT="0" distB="0" distL="0" distR="0" wp14:anchorId="51F668EA" wp14:editId="7523AAE7">
            <wp:extent cx="5572125" cy="3190875"/>
            <wp:effectExtent l="0" t="0" r="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83FFD" w:rsidRPr="00730B52" w:rsidRDefault="00D83FFD" w:rsidP="00730B52"/>
    <w:p w:rsidR="00D5579F" w:rsidRDefault="00D5579F" w:rsidP="007F6CEA">
      <w:pPr>
        <w:pStyle w:val="Nagwek2"/>
        <w:numPr>
          <w:ilvl w:val="0"/>
          <w:numId w:val="18"/>
        </w:numPr>
        <w:spacing w:before="0" w:line="360" w:lineRule="auto"/>
      </w:pPr>
      <w:bookmarkStart w:id="6" w:name="_Toc333477255"/>
      <w:r>
        <w:t xml:space="preserve">Bezrobotni </w:t>
      </w:r>
      <w:r w:rsidR="006B5EB9">
        <w:t xml:space="preserve">do 25 i powyżej 50 roku życia </w:t>
      </w:r>
      <w:r>
        <w:t>według czasu pozostawania bez pracy</w:t>
      </w:r>
      <w:bookmarkEnd w:id="6"/>
    </w:p>
    <w:p w:rsidR="00B76B73" w:rsidRDefault="00B76B73" w:rsidP="00B76B73"/>
    <w:p w:rsidR="006166E7" w:rsidRDefault="00BC2E0A" w:rsidP="008061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Problem długotrwałego bezrobocia</w:t>
      </w:r>
      <w:r w:rsidR="006E4D81">
        <w:rPr>
          <w:rFonts w:ascii="Times New Roman" w:hAnsi="Times New Roman" w:cs="Times New Roman"/>
          <w:sz w:val="24"/>
          <w:szCs w:val="24"/>
        </w:rPr>
        <w:t>,</w:t>
      </w:r>
      <w:r>
        <w:rPr>
          <w:rFonts w:ascii="Times New Roman" w:hAnsi="Times New Roman" w:cs="Times New Roman"/>
          <w:sz w:val="24"/>
          <w:szCs w:val="24"/>
        </w:rPr>
        <w:t xml:space="preserve"> </w:t>
      </w:r>
      <w:r w:rsidR="006E4D81">
        <w:rPr>
          <w:rFonts w:ascii="Times New Roman" w:hAnsi="Times New Roman" w:cs="Times New Roman"/>
          <w:sz w:val="24"/>
          <w:szCs w:val="24"/>
        </w:rPr>
        <w:t xml:space="preserve">znacznie </w:t>
      </w:r>
      <w:r>
        <w:rPr>
          <w:rFonts w:ascii="Times New Roman" w:hAnsi="Times New Roman" w:cs="Times New Roman"/>
          <w:sz w:val="24"/>
          <w:szCs w:val="24"/>
        </w:rPr>
        <w:t xml:space="preserve">częściej </w:t>
      </w:r>
      <w:r w:rsidR="006E4D81">
        <w:rPr>
          <w:rFonts w:ascii="Times New Roman" w:hAnsi="Times New Roman" w:cs="Times New Roman"/>
          <w:sz w:val="24"/>
          <w:szCs w:val="24"/>
        </w:rPr>
        <w:t xml:space="preserve">niż osób młodych, </w:t>
      </w:r>
      <w:r>
        <w:rPr>
          <w:rFonts w:ascii="Times New Roman" w:hAnsi="Times New Roman" w:cs="Times New Roman"/>
          <w:sz w:val="24"/>
          <w:szCs w:val="24"/>
        </w:rPr>
        <w:t>dotyczy o</w:t>
      </w:r>
      <w:r w:rsidR="007D57CF">
        <w:rPr>
          <w:rFonts w:ascii="Times New Roman" w:hAnsi="Times New Roman" w:cs="Times New Roman"/>
          <w:sz w:val="24"/>
          <w:szCs w:val="24"/>
        </w:rPr>
        <w:t>só</w:t>
      </w:r>
      <w:r w:rsidR="006166E7" w:rsidRPr="00E605D8">
        <w:rPr>
          <w:rFonts w:ascii="Times New Roman" w:hAnsi="Times New Roman" w:cs="Times New Roman"/>
          <w:sz w:val="24"/>
          <w:szCs w:val="24"/>
        </w:rPr>
        <w:t>b powyżej 50</w:t>
      </w:r>
      <w:r>
        <w:rPr>
          <w:rFonts w:ascii="Times New Roman" w:hAnsi="Times New Roman" w:cs="Times New Roman"/>
          <w:sz w:val="24"/>
          <w:szCs w:val="24"/>
        </w:rPr>
        <w:t xml:space="preserve"> roku życia</w:t>
      </w:r>
      <w:r w:rsidR="006166E7">
        <w:rPr>
          <w:rFonts w:ascii="Times New Roman" w:hAnsi="Times New Roman" w:cs="Times New Roman"/>
          <w:sz w:val="24"/>
          <w:szCs w:val="24"/>
        </w:rPr>
        <w:t xml:space="preserve">. </w:t>
      </w:r>
      <w:r w:rsidR="00E96309">
        <w:rPr>
          <w:rFonts w:ascii="Times New Roman" w:hAnsi="Times New Roman" w:cs="Times New Roman"/>
          <w:sz w:val="24"/>
          <w:szCs w:val="24"/>
        </w:rPr>
        <w:t>Jednocześnie liczba b</w:t>
      </w:r>
      <w:r w:rsidR="00F65F90">
        <w:rPr>
          <w:rFonts w:ascii="Times New Roman" w:hAnsi="Times New Roman" w:cs="Times New Roman"/>
          <w:sz w:val="24"/>
          <w:szCs w:val="24"/>
        </w:rPr>
        <w:t>ezrobotn</w:t>
      </w:r>
      <w:r w:rsidR="00E96309">
        <w:rPr>
          <w:rFonts w:ascii="Times New Roman" w:hAnsi="Times New Roman" w:cs="Times New Roman"/>
          <w:sz w:val="24"/>
          <w:szCs w:val="24"/>
        </w:rPr>
        <w:t>ych</w:t>
      </w:r>
      <w:r w:rsidR="00F65F90">
        <w:rPr>
          <w:rFonts w:ascii="Times New Roman" w:hAnsi="Times New Roman" w:cs="Times New Roman"/>
          <w:sz w:val="24"/>
          <w:szCs w:val="24"/>
        </w:rPr>
        <w:t xml:space="preserve"> z tej kategorii wiekowej, którzy </w:t>
      </w:r>
      <w:r w:rsidR="00E96309">
        <w:rPr>
          <w:rFonts w:ascii="Times New Roman" w:hAnsi="Times New Roman" w:cs="Times New Roman"/>
          <w:sz w:val="24"/>
          <w:szCs w:val="24"/>
        </w:rPr>
        <w:t xml:space="preserve">na koniec 2011 roku </w:t>
      </w:r>
      <w:r w:rsidR="00F65F90">
        <w:rPr>
          <w:rFonts w:ascii="Times New Roman" w:hAnsi="Times New Roman" w:cs="Times New Roman"/>
          <w:sz w:val="24"/>
          <w:szCs w:val="24"/>
        </w:rPr>
        <w:t xml:space="preserve">pozostawali w rejestrach </w:t>
      </w:r>
      <w:r w:rsidR="00B33691">
        <w:rPr>
          <w:rFonts w:ascii="Times New Roman" w:hAnsi="Times New Roman" w:cs="Times New Roman"/>
          <w:sz w:val="24"/>
          <w:szCs w:val="24"/>
        </w:rPr>
        <w:t>p</w:t>
      </w:r>
      <w:r w:rsidR="00E96309">
        <w:rPr>
          <w:rFonts w:ascii="Times New Roman" w:hAnsi="Times New Roman" w:cs="Times New Roman"/>
          <w:sz w:val="24"/>
          <w:szCs w:val="24"/>
        </w:rPr>
        <w:t xml:space="preserve">owiatowych </w:t>
      </w:r>
      <w:r w:rsidR="00B33691">
        <w:rPr>
          <w:rFonts w:ascii="Times New Roman" w:hAnsi="Times New Roman" w:cs="Times New Roman"/>
          <w:sz w:val="24"/>
          <w:szCs w:val="24"/>
        </w:rPr>
        <w:t>u</w:t>
      </w:r>
      <w:r w:rsidR="00E96309">
        <w:rPr>
          <w:rFonts w:ascii="Times New Roman" w:hAnsi="Times New Roman" w:cs="Times New Roman"/>
          <w:sz w:val="24"/>
          <w:szCs w:val="24"/>
        </w:rPr>
        <w:t xml:space="preserve">rzędów </w:t>
      </w:r>
      <w:r w:rsidR="00B33691">
        <w:rPr>
          <w:rFonts w:ascii="Times New Roman" w:hAnsi="Times New Roman" w:cs="Times New Roman"/>
          <w:sz w:val="24"/>
          <w:szCs w:val="24"/>
        </w:rPr>
        <w:t>p</w:t>
      </w:r>
      <w:r w:rsidR="00E96309">
        <w:rPr>
          <w:rFonts w:ascii="Times New Roman" w:hAnsi="Times New Roman" w:cs="Times New Roman"/>
          <w:sz w:val="24"/>
          <w:szCs w:val="24"/>
        </w:rPr>
        <w:t xml:space="preserve">racy </w:t>
      </w:r>
      <w:r w:rsidR="00B33691">
        <w:rPr>
          <w:rFonts w:ascii="Times New Roman" w:hAnsi="Times New Roman" w:cs="Times New Roman"/>
          <w:sz w:val="24"/>
          <w:szCs w:val="24"/>
        </w:rPr>
        <w:t>w</w:t>
      </w:r>
      <w:r w:rsidR="00E96309">
        <w:rPr>
          <w:rFonts w:ascii="Times New Roman" w:hAnsi="Times New Roman" w:cs="Times New Roman"/>
          <w:sz w:val="24"/>
          <w:szCs w:val="24"/>
        </w:rPr>
        <w:t xml:space="preserve">ojewództwa </w:t>
      </w:r>
      <w:r w:rsidR="00B33691">
        <w:rPr>
          <w:rFonts w:ascii="Times New Roman" w:hAnsi="Times New Roman" w:cs="Times New Roman"/>
          <w:sz w:val="24"/>
          <w:szCs w:val="24"/>
        </w:rPr>
        <w:t>w</w:t>
      </w:r>
      <w:r w:rsidR="00E96309">
        <w:rPr>
          <w:rFonts w:ascii="Times New Roman" w:hAnsi="Times New Roman" w:cs="Times New Roman"/>
          <w:sz w:val="24"/>
          <w:szCs w:val="24"/>
        </w:rPr>
        <w:t xml:space="preserve">ielkopolskiego powyżej 24 miesięcy, znacząco zwiększyła się w stosunku do roku 2009 </w:t>
      </w:r>
      <w:r w:rsidR="00B33691">
        <w:rPr>
          <w:rFonts w:ascii="Times New Roman" w:hAnsi="Times New Roman" w:cs="Times New Roman"/>
          <w:sz w:val="24"/>
          <w:szCs w:val="24"/>
        </w:rPr>
        <w:br/>
      </w:r>
      <w:r w:rsidR="00E96309">
        <w:rPr>
          <w:rFonts w:ascii="Times New Roman" w:hAnsi="Times New Roman" w:cs="Times New Roman"/>
          <w:sz w:val="24"/>
          <w:szCs w:val="24"/>
        </w:rPr>
        <w:t>(z 3 639 na 4</w:t>
      </w:r>
      <w:r w:rsidR="00CF673C">
        <w:rPr>
          <w:rFonts w:ascii="Times New Roman" w:hAnsi="Times New Roman" w:cs="Times New Roman"/>
          <w:sz w:val="24"/>
          <w:szCs w:val="24"/>
        </w:rPr>
        <w:t xml:space="preserve"> </w:t>
      </w:r>
      <w:r w:rsidR="00E96309">
        <w:rPr>
          <w:rFonts w:ascii="Times New Roman" w:hAnsi="Times New Roman" w:cs="Times New Roman"/>
          <w:sz w:val="24"/>
          <w:szCs w:val="24"/>
        </w:rPr>
        <w:t>915 osób). Wzr</w:t>
      </w:r>
      <w:r w:rsidR="00281289">
        <w:rPr>
          <w:rFonts w:ascii="Times New Roman" w:hAnsi="Times New Roman" w:cs="Times New Roman"/>
          <w:sz w:val="24"/>
          <w:szCs w:val="24"/>
        </w:rPr>
        <w:t>o</w:t>
      </w:r>
      <w:r w:rsidR="00E96309">
        <w:rPr>
          <w:rFonts w:ascii="Times New Roman" w:hAnsi="Times New Roman" w:cs="Times New Roman"/>
          <w:sz w:val="24"/>
          <w:szCs w:val="24"/>
        </w:rPr>
        <w:t>sł</w:t>
      </w:r>
      <w:r w:rsidR="00281289">
        <w:rPr>
          <w:rFonts w:ascii="Times New Roman" w:hAnsi="Times New Roman" w:cs="Times New Roman"/>
          <w:sz w:val="24"/>
          <w:szCs w:val="24"/>
        </w:rPr>
        <w:t>a</w:t>
      </w:r>
      <w:r w:rsidR="00E96309">
        <w:rPr>
          <w:rFonts w:ascii="Times New Roman" w:hAnsi="Times New Roman" w:cs="Times New Roman"/>
          <w:sz w:val="24"/>
          <w:szCs w:val="24"/>
        </w:rPr>
        <w:t xml:space="preserve"> także </w:t>
      </w:r>
      <w:r w:rsidR="00281289">
        <w:rPr>
          <w:rFonts w:ascii="Times New Roman" w:hAnsi="Times New Roman" w:cs="Times New Roman"/>
          <w:sz w:val="24"/>
          <w:szCs w:val="24"/>
        </w:rPr>
        <w:t>liczba</w:t>
      </w:r>
      <w:r w:rsidR="00E96309">
        <w:rPr>
          <w:rFonts w:ascii="Times New Roman" w:hAnsi="Times New Roman" w:cs="Times New Roman"/>
          <w:sz w:val="24"/>
          <w:szCs w:val="24"/>
        </w:rPr>
        <w:t xml:space="preserve"> osób powyżej 50 roku życia, które pozostają bezrobotne dłużej niż rok (z </w:t>
      </w:r>
      <w:r w:rsidR="00281289">
        <w:rPr>
          <w:rFonts w:ascii="Times New Roman" w:hAnsi="Times New Roman" w:cs="Times New Roman"/>
          <w:sz w:val="24"/>
          <w:szCs w:val="24"/>
        </w:rPr>
        <w:t xml:space="preserve">3 281 </w:t>
      </w:r>
      <w:r w:rsidR="00E96309">
        <w:rPr>
          <w:rFonts w:ascii="Times New Roman" w:hAnsi="Times New Roman" w:cs="Times New Roman"/>
          <w:sz w:val="24"/>
          <w:szCs w:val="24"/>
        </w:rPr>
        <w:t xml:space="preserve">w 2009 roku do </w:t>
      </w:r>
      <w:r w:rsidR="00281289">
        <w:rPr>
          <w:rFonts w:ascii="Times New Roman" w:hAnsi="Times New Roman" w:cs="Times New Roman"/>
          <w:sz w:val="24"/>
          <w:szCs w:val="24"/>
        </w:rPr>
        <w:t xml:space="preserve">5 297 </w:t>
      </w:r>
      <w:r w:rsidR="00E96309">
        <w:rPr>
          <w:rFonts w:ascii="Times New Roman" w:hAnsi="Times New Roman" w:cs="Times New Roman"/>
          <w:sz w:val="24"/>
          <w:szCs w:val="24"/>
        </w:rPr>
        <w:t>w 2011 roku).</w:t>
      </w:r>
    </w:p>
    <w:p w:rsidR="00E96309" w:rsidRPr="00E605D8" w:rsidRDefault="00E96309" w:rsidP="008061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 grupie osób bezrobotnych </w:t>
      </w:r>
      <w:r w:rsidR="005335B7">
        <w:rPr>
          <w:rFonts w:ascii="Times New Roman" w:hAnsi="Times New Roman" w:cs="Times New Roman"/>
          <w:sz w:val="24"/>
          <w:szCs w:val="24"/>
        </w:rPr>
        <w:t>poniżej</w:t>
      </w:r>
      <w:r>
        <w:rPr>
          <w:rFonts w:ascii="Times New Roman" w:hAnsi="Times New Roman" w:cs="Times New Roman"/>
          <w:sz w:val="24"/>
          <w:szCs w:val="24"/>
        </w:rPr>
        <w:t xml:space="preserve"> 25 roku życia</w:t>
      </w:r>
      <w:r w:rsidR="005335B7">
        <w:rPr>
          <w:rFonts w:ascii="Times New Roman" w:hAnsi="Times New Roman" w:cs="Times New Roman"/>
          <w:sz w:val="24"/>
          <w:szCs w:val="24"/>
        </w:rPr>
        <w:t>,</w:t>
      </w:r>
      <w:r>
        <w:rPr>
          <w:rFonts w:ascii="Times New Roman" w:hAnsi="Times New Roman" w:cs="Times New Roman"/>
          <w:sz w:val="24"/>
          <w:szCs w:val="24"/>
        </w:rPr>
        <w:t xml:space="preserve"> przeważają </w:t>
      </w:r>
      <w:r w:rsidR="00A65B42">
        <w:rPr>
          <w:rFonts w:ascii="Times New Roman" w:hAnsi="Times New Roman" w:cs="Times New Roman"/>
          <w:sz w:val="24"/>
          <w:szCs w:val="24"/>
        </w:rPr>
        <w:t xml:space="preserve">osoby pozostające przez krótszy okres bez zatrudnienia. W latach 2009 – 2011 średnio 30% bezrobotnych z tej grupy wiekowej nie miało pracy od 1 do 3 miesięcy. </w:t>
      </w:r>
      <w:r w:rsidR="00121818" w:rsidRPr="00121818">
        <w:rPr>
          <w:rFonts w:ascii="Times New Roman" w:hAnsi="Times New Roman" w:cs="Times New Roman"/>
          <w:sz w:val="24"/>
          <w:szCs w:val="24"/>
        </w:rPr>
        <w:t>Związane jest to z większą aktywnością osób młodych oraz ich mobilnością.</w:t>
      </w:r>
      <w:r w:rsidR="005335B7">
        <w:rPr>
          <w:rFonts w:ascii="Times New Roman" w:hAnsi="Times New Roman" w:cs="Times New Roman"/>
          <w:sz w:val="24"/>
          <w:szCs w:val="24"/>
        </w:rPr>
        <w:t xml:space="preserve"> </w:t>
      </w:r>
      <w:r w:rsidR="00B33691">
        <w:rPr>
          <w:rFonts w:ascii="Times New Roman" w:hAnsi="Times New Roman" w:cs="Times New Roman"/>
          <w:sz w:val="24"/>
          <w:szCs w:val="24"/>
        </w:rPr>
        <w:t xml:space="preserve">Osoby te znacznie chętniej także uczestniczą </w:t>
      </w:r>
      <w:r w:rsidR="00B33691">
        <w:rPr>
          <w:rFonts w:ascii="Times New Roman" w:hAnsi="Times New Roman" w:cs="Times New Roman"/>
          <w:sz w:val="24"/>
          <w:szCs w:val="24"/>
        </w:rPr>
        <w:br/>
        <w:t xml:space="preserve">w programach aktywizujących. </w:t>
      </w:r>
      <w:r w:rsidR="005335B7">
        <w:rPr>
          <w:rFonts w:ascii="Times New Roman" w:hAnsi="Times New Roman" w:cs="Times New Roman"/>
          <w:sz w:val="24"/>
          <w:szCs w:val="24"/>
        </w:rPr>
        <w:t xml:space="preserve">Jednocześnie, mimo niewielkiego odsetka osób długotrwale bezrobotnych wśród bezrobotnych do 25 roku życia, liczba młodych osób, które były zarejestrowane w </w:t>
      </w:r>
      <w:r w:rsidR="00B33691">
        <w:rPr>
          <w:rFonts w:ascii="Times New Roman" w:hAnsi="Times New Roman" w:cs="Times New Roman"/>
          <w:sz w:val="24"/>
          <w:szCs w:val="24"/>
        </w:rPr>
        <w:t>p</w:t>
      </w:r>
      <w:r w:rsidR="005335B7">
        <w:rPr>
          <w:rFonts w:ascii="Times New Roman" w:hAnsi="Times New Roman" w:cs="Times New Roman"/>
          <w:sz w:val="24"/>
          <w:szCs w:val="24"/>
        </w:rPr>
        <w:t xml:space="preserve">owiatowych </w:t>
      </w:r>
      <w:r w:rsidR="00B33691">
        <w:rPr>
          <w:rFonts w:ascii="Times New Roman" w:hAnsi="Times New Roman" w:cs="Times New Roman"/>
          <w:sz w:val="24"/>
          <w:szCs w:val="24"/>
        </w:rPr>
        <w:t>u</w:t>
      </w:r>
      <w:r w:rsidR="005335B7">
        <w:rPr>
          <w:rFonts w:ascii="Times New Roman" w:hAnsi="Times New Roman" w:cs="Times New Roman"/>
          <w:sz w:val="24"/>
          <w:szCs w:val="24"/>
        </w:rPr>
        <w:t xml:space="preserve">rzędach </w:t>
      </w:r>
      <w:r w:rsidR="00B33691">
        <w:rPr>
          <w:rFonts w:ascii="Times New Roman" w:hAnsi="Times New Roman" w:cs="Times New Roman"/>
          <w:sz w:val="24"/>
          <w:szCs w:val="24"/>
        </w:rPr>
        <w:t>p</w:t>
      </w:r>
      <w:r w:rsidR="005335B7">
        <w:rPr>
          <w:rFonts w:ascii="Times New Roman" w:hAnsi="Times New Roman" w:cs="Times New Roman"/>
          <w:sz w:val="24"/>
          <w:szCs w:val="24"/>
        </w:rPr>
        <w:t>racy powyżej 12 miesięcy, na przestrzeni lat 2009-2011, znacząco wzrosła (z 3 768 w 2009 roku do 6 304 w roku 2011).</w:t>
      </w:r>
    </w:p>
    <w:p w:rsidR="00B33691" w:rsidRDefault="00B33691" w:rsidP="00B76B73">
      <w:r>
        <w:lastRenderedPageBreak/>
        <w:t>Wykres 8. Liczba bezrobotnych powyżej 50 roku życia według czasu pozostawania bez pracy (w mies</w:t>
      </w:r>
      <w:r w:rsidR="00082343">
        <w:t>iącach) - na koniec danego roku</w:t>
      </w:r>
    </w:p>
    <w:p w:rsidR="00B33691" w:rsidRDefault="00B33691" w:rsidP="00B76B73">
      <w:r>
        <w:rPr>
          <w:noProof/>
          <w:lang w:eastAsia="pl-PL"/>
        </w:rPr>
        <w:drawing>
          <wp:inline distT="0" distB="0" distL="0" distR="0" wp14:anchorId="74605C99" wp14:editId="2FCD3D03">
            <wp:extent cx="5534025" cy="3448050"/>
            <wp:effectExtent l="0" t="0" r="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33691" w:rsidRDefault="00B33691" w:rsidP="00B76B73"/>
    <w:p w:rsidR="00B76B73" w:rsidRPr="00B76B73" w:rsidRDefault="00B76B73" w:rsidP="00B76B73">
      <w:r>
        <w:t>Wykres</w:t>
      </w:r>
      <w:r w:rsidR="00806155">
        <w:t xml:space="preserve"> </w:t>
      </w:r>
      <w:r w:rsidR="00B33691">
        <w:t>9</w:t>
      </w:r>
      <w:r w:rsidR="00806155">
        <w:t xml:space="preserve">. </w:t>
      </w:r>
      <w:r w:rsidR="007F665E">
        <w:t xml:space="preserve">Liczba bezrobotnych </w:t>
      </w:r>
      <w:r>
        <w:t>do 25 roku życia</w:t>
      </w:r>
      <w:r w:rsidR="007F665E">
        <w:t xml:space="preserve"> według czasu pozostawania bez pracy (w miesiącach)</w:t>
      </w:r>
      <w:r w:rsidR="009921E2">
        <w:t xml:space="preserve"> –</w:t>
      </w:r>
      <w:r w:rsidR="00082343">
        <w:t xml:space="preserve"> na koniec danego roku</w:t>
      </w:r>
    </w:p>
    <w:p w:rsidR="009753C4" w:rsidRDefault="00B76B73" w:rsidP="00B33691">
      <w:r>
        <w:rPr>
          <w:noProof/>
          <w:lang w:eastAsia="pl-PL"/>
        </w:rPr>
        <w:drawing>
          <wp:inline distT="0" distB="0" distL="0" distR="0" wp14:anchorId="6FAA776D" wp14:editId="79B47A8B">
            <wp:extent cx="5762625" cy="3476625"/>
            <wp:effectExtent l="0" t="0" r="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43D2C" w:rsidRDefault="00243D2C" w:rsidP="00B33691"/>
    <w:p w:rsidR="00210C53" w:rsidRDefault="00210C53" w:rsidP="007F6CEA">
      <w:pPr>
        <w:pStyle w:val="Nagwek2"/>
        <w:numPr>
          <w:ilvl w:val="0"/>
          <w:numId w:val="18"/>
        </w:numPr>
      </w:pPr>
      <w:bookmarkStart w:id="7" w:name="_Toc333477256"/>
      <w:r>
        <w:lastRenderedPageBreak/>
        <w:t xml:space="preserve">Bezrobotni </w:t>
      </w:r>
      <w:r w:rsidR="006B5EB9">
        <w:t xml:space="preserve">do 25 i powyżej 50 roku życia </w:t>
      </w:r>
      <w:r>
        <w:t>według stażu pracy</w:t>
      </w:r>
      <w:bookmarkEnd w:id="7"/>
    </w:p>
    <w:p w:rsidR="00210C53" w:rsidRDefault="00210C53" w:rsidP="00210C53"/>
    <w:p w:rsidR="00696A3E" w:rsidRDefault="0083261D" w:rsidP="00F60D5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Młodzi ludzie do 25 roku życia</w:t>
      </w:r>
      <w:r w:rsidRPr="0083261D">
        <w:rPr>
          <w:rFonts w:ascii="Times New Roman" w:hAnsi="Times New Roman" w:cs="Times New Roman"/>
          <w:sz w:val="24"/>
          <w:szCs w:val="24"/>
        </w:rPr>
        <w:t xml:space="preserve"> najczęściej dopiero rozpoczynają swoją ścieżkę zawodową</w:t>
      </w:r>
      <w:r>
        <w:rPr>
          <w:rFonts w:ascii="Times New Roman" w:hAnsi="Times New Roman" w:cs="Times New Roman"/>
          <w:sz w:val="24"/>
          <w:szCs w:val="24"/>
        </w:rPr>
        <w:t xml:space="preserve">, dlatego największą grupę </w:t>
      </w:r>
      <w:r w:rsidR="00004E0C">
        <w:rPr>
          <w:rFonts w:ascii="Times New Roman" w:hAnsi="Times New Roman" w:cs="Times New Roman"/>
          <w:sz w:val="24"/>
          <w:szCs w:val="24"/>
        </w:rPr>
        <w:t xml:space="preserve">zarejestrowanych w </w:t>
      </w:r>
      <w:r w:rsidR="00B33691">
        <w:rPr>
          <w:rFonts w:ascii="Times New Roman" w:hAnsi="Times New Roman" w:cs="Times New Roman"/>
          <w:sz w:val="24"/>
          <w:szCs w:val="24"/>
        </w:rPr>
        <w:t>p</w:t>
      </w:r>
      <w:r w:rsidR="0040517B">
        <w:rPr>
          <w:rFonts w:ascii="Times New Roman" w:hAnsi="Times New Roman" w:cs="Times New Roman"/>
          <w:sz w:val="24"/>
          <w:szCs w:val="24"/>
        </w:rPr>
        <w:t xml:space="preserve">owiatowych </w:t>
      </w:r>
      <w:r w:rsidR="00B33691">
        <w:rPr>
          <w:rFonts w:ascii="Times New Roman" w:hAnsi="Times New Roman" w:cs="Times New Roman"/>
          <w:sz w:val="24"/>
          <w:szCs w:val="24"/>
        </w:rPr>
        <w:t>u</w:t>
      </w:r>
      <w:r w:rsidR="0040517B">
        <w:rPr>
          <w:rFonts w:ascii="Times New Roman" w:hAnsi="Times New Roman" w:cs="Times New Roman"/>
          <w:sz w:val="24"/>
          <w:szCs w:val="24"/>
        </w:rPr>
        <w:t xml:space="preserve">rzędach </w:t>
      </w:r>
      <w:r w:rsidR="00B33691">
        <w:rPr>
          <w:rFonts w:ascii="Times New Roman" w:hAnsi="Times New Roman" w:cs="Times New Roman"/>
          <w:sz w:val="24"/>
          <w:szCs w:val="24"/>
        </w:rPr>
        <w:t>p</w:t>
      </w:r>
      <w:r w:rsidR="00004E0C">
        <w:rPr>
          <w:rFonts w:ascii="Times New Roman" w:hAnsi="Times New Roman" w:cs="Times New Roman"/>
          <w:sz w:val="24"/>
          <w:szCs w:val="24"/>
        </w:rPr>
        <w:t xml:space="preserve">racy </w:t>
      </w:r>
      <w:r>
        <w:rPr>
          <w:rFonts w:ascii="Times New Roman" w:hAnsi="Times New Roman" w:cs="Times New Roman"/>
          <w:sz w:val="24"/>
          <w:szCs w:val="24"/>
        </w:rPr>
        <w:t>stanowią wśród nich</w:t>
      </w:r>
      <w:r w:rsidR="008832E1">
        <w:rPr>
          <w:rFonts w:ascii="Times New Roman" w:hAnsi="Times New Roman" w:cs="Times New Roman"/>
          <w:sz w:val="24"/>
          <w:szCs w:val="24"/>
        </w:rPr>
        <w:t xml:space="preserve"> osoby</w:t>
      </w:r>
      <w:r>
        <w:rPr>
          <w:rFonts w:ascii="Times New Roman" w:hAnsi="Times New Roman" w:cs="Times New Roman"/>
          <w:sz w:val="24"/>
          <w:szCs w:val="24"/>
        </w:rPr>
        <w:t>, które nie posiadają żadnego stażu zawodowego</w:t>
      </w:r>
      <w:r w:rsidR="000957B8">
        <w:rPr>
          <w:rFonts w:ascii="Times New Roman" w:hAnsi="Times New Roman" w:cs="Times New Roman"/>
          <w:sz w:val="24"/>
          <w:szCs w:val="24"/>
        </w:rPr>
        <w:t xml:space="preserve"> (średnio prawie 42%)</w:t>
      </w:r>
      <w:r>
        <w:rPr>
          <w:rFonts w:ascii="Times New Roman" w:hAnsi="Times New Roman" w:cs="Times New Roman"/>
          <w:sz w:val="24"/>
          <w:szCs w:val="24"/>
        </w:rPr>
        <w:t>.</w:t>
      </w:r>
      <w:r w:rsidR="00F806BA">
        <w:rPr>
          <w:rFonts w:ascii="Times New Roman" w:hAnsi="Times New Roman" w:cs="Times New Roman"/>
          <w:sz w:val="24"/>
          <w:szCs w:val="24"/>
        </w:rPr>
        <w:t xml:space="preserve"> </w:t>
      </w:r>
      <w:r w:rsidR="00FD32C7">
        <w:rPr>
          <w:rFonts w:ascii="Times New Roman" w:hAnsi="Times New Roman" w:cs="Times New Roman"/>
          <w:sz w:val="24"/>
          <w:szCs w:val="24"/>
        </w:rPr>
        <w:t xml:space="preserve">Osoby posiadające staż do 1 roku oraz od 1-5 lat stanowiły średnio w latach 2009-2011 </w:t>
      </w:r>
      <w:r w:rsidR="000957B8">
        <w:rPr>
          <w:rFonts w:ascii="Times New Roman" w:hAnsi="Times New Roman" w:cs="Times New Roman"/>
          <w:sz w:val="24"/>
          <w:szCs w:val="24"/>
        </w:rPr>
        <w:t>22,4</w:t>
      </w:r>
      <w:r w:rsidR="00B172C9">
        <w:rPr>
          <w:rFonts w:ascii="Times New Roman" w:hAnsi="Times New Roman" w:cs="Times New Roman"/>
          <w:sz w:val="24"/>
          <w:szCs w:val="24"/>
        </w:rPr>
        <w:t>%</w:t>
      </w:r>
      <w:r w:rsidR="001547C8">
        <w:rPr>
          <w:rFonts w:ascii="Times New Roman" w:hAnsi="Times New Roman" w:cs="Times New Roman"/>
          <w:sz w:val="24"/>
          <w:szCs w:val="24"/>
        </w:rPr>
        <w:t xml:space="preserve"> i 33,7</w:t>
      </w:r>
      <w:r w:rsidR="000957B8">
        <w:rPr>
          <w:rFonts w:ascii="Times New Roman" w:hAnsi="Times New Roman" w:cs="Times New Roman"/>
          <w:sz w:val="24"/>
          <w:szCs w:val="24"/>
        </w:rPr>
        <w:t>%.</w:t>
      </w:r>
    </w:p>
    <w:p w:rsidR="00F806BA" w:rsidRDefault="0083261D" w:rsidP="00F60D5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Odwrotnie sytuacja przedstawia się w przypadku zarejestrowanych bezrobotnych powyżej 50 roku życia, wśród których </w:t>
      </w:r>
      <w:r w:rsidR="00F806BA">
        <w:rPr>
          <w:rFonts w:ascii="Times New Roman" w:hAnsi="Times New Roman" w:cs="Times New Roman"/>
          <w:sz w:val="24"/>
          <w:szCs w:val="24"/>
        </w:rPr>
        <w:t>osoby nie posiadające stażu zawodowego stanowią najmniejszą grupę (niewiele ponad tysiąc osób w każdym roku). Wzrasta z roku na roku liczba osób bezrobotnych w tej kategorii wiekowej, posiadających 20-30 lat stażu pracy. Osobom takim, mimo posiadanego doświadczenia zawodowego</w:t>
      </w:r>
      <w:r w:rsidR="00F76E62">
        <w:rPr>
          <w:rFonts w:ascii="Times New Roman" w:hAnsi="Times New Roman" w:cs="Times New Roman"/>
          <w:sz w:val="24"/>
          <w:szCs w:val="24"/>
        </w:rPr>
        <w:t>,</w:t>
      </w:r>
      <w:r w:rsidR="00F806BA">
        <w:rPr>
          <w:rFonts w:ascii="Times New Roman" w:hAnsi="Times New Roman" w:cs="Times New Roman"/>
          <w:sz w:val="24"/>
          <w:szCs w:val="24"/>
        </w:rPr>
        <w:t xml:space="preserve"> jest szczególnie trudno odnaleźć się na rynku pracy i uzyskać ponowne zatrudnienie.</w:t>
      </w:r>
      <w:r w:rsidR="00F76E62">
        <w:rPr>
          <w:rFonts w:ascii="Times New Roman" w:hAnsi="Times New Roman" w:cs="Times New Roman"/>
          <w:sz w:val="24"/>
          <w:szCs w:val="24"/>
        </w:rPr>
        <w:t xml:space="preserve"> </w:t>
      </w:r>
      <w:r w:rsidR="00AD7FA0">
        <w:rPr>
          <w:rFonts w:ascii="Times New Roman" w:hAnsi="Times New Roman" w:cs="Times New Roman"/>
          <w:sz w:val="24"/>
          <w:szCs w:val="24"/>
        </w:rPr>
        <w:t>Niektórzy p</w:t>
      </w:r>
      <w:r w:rsidR="008832E1">
        <w:rPr>
          <w:rFonts w:ascii="Times New Roman" w:hAnsi="Times New Roman" w:cs="Times New Roman"/>
          <w:sz w:val="24"/>
          <w:szCs w:val="24"/>
        </w:rPr>
        <w:t>racodawcy nadal bowiem podchodzą stereotypowo do zatrudniania osób w wieku powyżej 50</w:t>
      </w:r>
      <w:r w:rsidR="005A7BC7" w:rsidRPr="005A7BC7">
        <w:rPr>
          <w:rFonts w:ascii="Times New Roman" w:hAnsi="Times New Roman" w:cs="Times New Roman"/>
          <w:sz w:val="24"/>
          <w:szCs w:val="24"/>
        </w:rPr>
        <w:t xml:space="preserve"> </w:t>
      </w:r>
      <w:r w:rsidR="005A7BC7">
        <w:rPr>
          <w:rFonts w:ascii="Times New Roman" w:hAnsi="Times New Roman" w:cs="Times New Roman"/>
          <w:sz w:val="24"/>
          <w:szCs w:val="24"/>
        </w:rPr>
        <w:t>roku życia</w:t>
      </w:r>
      <w:r w:rsidR="0017153D">
        <w:rPr>
          <w:rFonts w:ascii="Times New Roman" w:hAnsi="Times New Roman" w:cs="Times New Roman"/>
          <w:sz w:val="24"/>
          <w:szCs w:val="24"/>
        </w:rPr>
        <w:t>, uważając je za mało elastyczn</w:t>
      </w:r>
      <w:r w:rsidR="005A7BC7">
        <w:rPr>
          <w:rFonts w:ascii="Times New Roman" w:hAnsi="Times New Roman" w:cs="Times New Roman"/>
          <w:sz w:val="24"/>
          <w:szCs w:val="24"/>
        </w:rPr>
        <w:t>e</w:t>
      </w:r>
      <w:r w:rsidR="0017153D">
        <w:rPr>
          <w:rFonts w:ascii="Times New Roman" w:hAnsi="Times New Roman" w:cs="Times New Roman"/>
          <w:sz w:val="24"/>
          <w:szCs w:val="24"/>
        </w:rPr>
        <w:t xml:space="preserve">, </w:t>
      </w:r>
      <w:r w:rsidR="005A7BC7">
        <w:rPr>
          <w:rFonts w:ascii="Times New Roman" w:hAnsi="Times New Roman" w:cs="Times New Roman"/>
          <w:sz w:val="24"/>
          <w:szCs w:val="24"/>
        </w:rPr>
        <w:t xml:space="preserve">pasywne, </w:t>
      </w:r>
      <w:r w:rsidR="0017153D">
        <w:rPr>
          <w:rFonts w:ascii="Times New Roman" w:hAnsi="Times New Roman" w:cs="Times New Roman"/>
          <w:sz w:val="24"/>
          <w:szCs w:val="24"/>
        </w:rPr>
        <w:t>wolniej przyswajając</w:t>
      </w:r>
      <w:r w:rsidR="005A7BC7">
        <w:rPr>
          <w:rFonts w:ascii="Times New Roman" w:hAnsi="Times New Roman" w:cs="Times New Roman"/>
          <w:sz w:val="24"/>
          <w:szCs w:val="24"/>
        </w:rPr>
        <w:t>e</w:t>
      </w:r>
      <w:r w:rsidR="0017153D">
        <w:rPr>
          <w:rFonts w:ascii="Times New Roman" w:hAnsi="Times New Roman" w:cs="Times New Roman"/>
          <w:sz w:val="24"/>
          <w:szCs w:val="24"/>
        </w:rPr>
        <w:t xml:space="preserve"> nowe informacje i mniej skłonn</w:t>
      </w:r>
      <w:r w:rsidR="005A7BC7">
        <w:rPr>
          <w:rFonts w:ascii="Times New Roman" w:hAnsi="Times New Roman" w:cs="Times New Roman"/>
          <w:sz w:val="24"/>
          <w:szCs w:val="24"/>
        </w:rPr>
        <w:t>e</w:t>
      </w:r>
      <w:r w:rsidR="0017153D">
        <w:rPr>
          <w:rFonts w:ascii="Times New Roman" w:hAnsi="Times New Roman" w:cs="Times New Roman"/>
          <w:sz w:val="24"/>
          <w:szCs w:val="24"/>
        </w:rPr>
        <w:t xml:space="preserve"> do podnoszenia swoich kwalifikacji bą</w:t>
      </w:r>
      <w:r w:rsidR="005A7BC7">
        <w:rPr>
          <w:rFonts w:ascii="Times New Roman" w:hAnsi="Times New Roman" w:cs="Times New Roman"/>
          <w:sz w:val="24"/>
          <w:szCs w:val="24"/>
        </w:rPr>
        <w:t>dź przekwalifikowania</w:t>
      </w:r>
      <w:r w:rsidR="000B669A">
        <w:rPr>
          <w:rFonts w:ascii="Times New Roman" w:hAnsi="Times New Roman" w:cs="Times New Roman"/>
          <w:sz w:val="24"/>
          <w:szCs w:val="24"/>
        </w:rPr>
        <w:t>.</w:t>
      </w:r>
      <w:r w:rsidR="008832E1">
        <w:rPr>
          <w:rFonts w:ascii="Times New Roman" w:hAnsi="Times New Roman" w:cs="Times New Roman"/>
          <w:sz w:val="24"/>
          <w:szCs w:val="24"/>
        </w:rPr>
        <w:t xml:space="preserve"> </w:t>
      </w:r>
      <w:r w:rsidR="005A7BC7">
        <w:rPr>
          <w:rFonts w:ascii="Times New Roman" w:hAnsi="Times New Roman" w:cs="Times New Roman"/>
          <w:sz w:val="24"/>
          <w:szCs w:val="24"/>
        </w:rPr>
        <w:t xml:space="preserve">Również </w:t>
      </w:r>
      <w:r w:rsidR="008832E1">
        <w:rPr>
          <w:rFonts w:ascii="Times New Roman" w:hAnsi="Times New Roman" w:cs="Times New Roman"/>
          <w:sz w:val="24"/>
          <w:szCs w:val="24"/>
        </w:rPr>
        <w:t>sami bezrobotni w tym wieku są mniej aktywni w poszukiwaniu zatrudnienia</w:t>
      </w:r>
      <w:r w:rsidR="009A6F5C">
        <w:rPr>
          <w:rFonts w:ascii="Times New Roman" w:hAnsi="Times New Roman" w:cs="Times New Roman"/>
          <w:sz w:val="24"/>
          <w:szCs w:val="24"/>
        </w:rPr>
        <w:t>,</w:t>
      </w:r>
      <w:r w:rsidR="008832E1">
        <w:rPr>
          <w:rFonts w:ascii="Times New Roman" w:hAnsi="Times New Roman" w:cs="Times New Roman"/>
          <w:sz w:val="24"/>
          <w:szCs w:val="24"/>
        </w:rPr>
        <w:t xml:space="preserve"> niż osoby młodsze. </w:t>
      </w:r>
    </w:p>
    <w:p w:rsidR="00F60D5B" w:rsidRPr="0083261D" w:rsidRDefault="00F60D5B" w:rsidP="00F60D5B">
      <w:pPr>
        <w:spacing w:after="0" w:line="360" w:lineRule="auto"/>
        <w:ind w:firstLine="709"/>
        <w:jc w:val="both"/>
        <w:rPr>
          <w:rFonts w:ascii="Times New Roman" w:hAnsi="Times New Roman" w:cs="Times New Roman"/>
          <w:sz w:val="24"/>
          <w:szCs w:val="24"/>
        </w:rPr>
      </w:pPr>
    </w:p>
    <w:p w:rsidR="00696A3E" w:rsidRDefault="00696A3E" w:rsidP="00696A3E">
      <w:r>
        <w:t>Wykres 10. Liczba bezrobotnych do 25</w:t>
      </w:r>
      <w:r w:rsidR="00173ECC">
        <w:t xml:space="preserve"> roku życia według stażu pracy (</w:t>
      </w:r>
      <w:r>
        <w:t>na koniec danego roku</w:t>
      </w:r>
      <w:r w:rsidR="00173ECC">
        <w:t>)</w:t>
      </w:r>
    </w:p>
    <w:p w:rsidR="00696A3E" w:rsidRDefault="00FE3069" w:rsidP="00243D2C">
      <w:pPr>
        <w:jc w:val="center"/>
      </w:pPr>
      <w:r>
        <w:rPr>
          <w:noProof/>
          <w:lang w:eastAsia="pl-PL"/>
        </w:rPr>
        <w:drawing>
          <wp:inline distT="0" distB="0" distL="0" distR="0" wp14:anchorId="19281E19" wp14:editId="3317734F">
            <wp:extent cx="4819650" cy="3105150"/>
            <wp:effectExtent l="0" t="0" r="0" b="0"/>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33691" w:rsidRDefault="00B33691" w:rsidP="00210C53"/>
    <w:p w:rsidR="00173ECC" w:rsidRDefault="00173ECC" w:rsidP="00210C53"/>
    <w:p w:rsidR="00696A3E" w:rsidRDefault="00696A3E" w:rsidP="00696A3E">
      <w:r>
        <w:lastRenderedPageBreak/>
        <w:t xml:space="preserve">Wykres 11. Liczba bezrobotnych powyżej 50 roku życia według stażu pracy </w:t>
      </w:r>
      <w:r w:rsidR="00173ECC">
        <w:t>(</w:t>
      </w:r>
      <w:r>
        <w:t>na koniec danego roku</w:t>
      </w:r>
      <w:r w:rsidR="00173ECC">
        <w:t>)</w:t>
      </w:r>
    </w:p>
    <w:p w:rsidR="00D83FFD" w:rsidRDefault="00FE3069" w:rsidP="00FE3069">
      <w:pPr>
        <w:jc w:val="center"/>
      </w:pPr>
      <w:r>
        <w:rPr>
          <w:noProof/>
          <w:lang w:eastAsia="pl-PL"/>
        </w:rPr>
        <w:drawing>
          <wp:inline distT="0" distB="0" distL="0" distR="0" wp14:anchorId="7B1F1859" wp14:editId="72F5F7AE">
            <wp:extent cx="5124450" cy="3429000"/>
            <wp:effectExtent l="0" t="0" r="0" b="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83FFD" w:rsidRDefault="00D83FFD">
      <w:r>
        <w:br w:type="page"/>
      </w:r>
    </w:p>
    <w:p w:rsidR="00FE4034" w:rsidRDefault="00FE4034" w:rsidP="00730B52">
      <w:pPr>
        <w:pStyle w:val="Nagwek1"/>
        <w:numPr>
          <w:ilvl w:val="0"/>
          <w:numId w:val="5"/>
        </w:numPr>
        <w:spacing w:before="0" w:line="360" w:lineRule="auto"/>
        <w:ind w:left="567" w:hanging="567"/>
        <w:jc w:val="both"/>
      </w:pPr>
      <w:bookmarkStart w:id="8" w:name="_Toc333477257"/>
      <w:r>
        <w:lastRenderedPageBreak/>
        <w:t>Realizacja działań na rzecz osób bezrobotnych, finansowanych ze środków Funduszu Pracy</w:t>
      </w:r>
      <w:bookmarkEnd w:id="8"/>
      <w:r>
        <w:t xml:space="preserve"> </w:t>
      </w:r>
    </w:p>
    <w:p w:rsidR="00730B52" w:rsidRPr="00730B52" w:rsidRDefault="00730B52" w:rsidP="00730B52"/>
    <w:p w:rsidR="00FE4034" w:rsidRDefault="007E709D" w:rsidP="00730B52">
      <w:pPr>
        <w:pStyle w:val="Nagwek2"/>
        <w:numPr>
          <w:ilvl w:val="0"/>
          <w:numId w:val="9"/>
        </w:numPr>
        <w:spacing w:before="0" w:line="360" w:lineRule="auto"/>
        <w:jc w:val="both"/>
      </w:pPr>
      <w:bookmarkStart w:id="9" w:name="_Toc333477258"/>
      <w:r w:rsidRPr="007E709D">
        <w:t>Aktywizacja osób bezrobotnych do 25 oraz powyżej 50 roku życia</w:t>
      </w:r>
      <w:bookmarkEnd w:id="9"/>
    </w:p>
    <w:p w:rsidR="00730B52" w:rsidRDefault="00730B52" w:rsidP="00730B52"/>
    <w:p w:rsidR="00385304" w:rsidRDefault="00FA7CD3" w:rsidP="003853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 latach 2009-2011 zaktywizowano ogółem </w:t>
      </w:r>
      <w:r w:rsidR="001D1C5F">
        <w:rPr>
          <w:rFonts w:ascii="Times New Roman" w:hAnsi="Times New Roman" w:cs="Times New Roman"/>
          <w:sz w:val="24"/>
          <w:szCs w:val="24"/>
        </w:rPr>
        <w:t xml:space="preserve">118 427 osób, przy czym w 2011 roku, ze względu na znacznie zmniejszone środki Funduszu </w:t>
      </w:r>
      <w:r w:rsidR="009921E2">
        <w:rPr>
          <w:rFonts w:ascii="Times New Roman" w:hAnsi="Times New Roman" w:cs="Times New Roman"/>
          <w:sz w:val="24"/>
          <w:szCs w:val="24"/>
        </w:rPr>
        <w:t>P</w:t>
      </w:r>
      <w:r w:rsidR="001D1C5F">
        <w:rPr>
          <w:rFonts w:ascii="Times New Roman" w:hAnsi="Times New Roman" w:cs="Times New Roman"/>
          <w:sz w:val="24"/>
          <w:szCs w:val="24"/>
        </w:rPr>
        <w:t xml:space="preserve">racy na aktywizację osób bezrobotnych, liczba ta była o połowę mniejsza, niż w latach poprzednich. </w:t>
      </w:r>
      <w:r w:rsidR="00385304">
        <w:rPr>
          <w:rFonts w:ascii="Times New Roman" w:hAnsi="Times New Roman" w:cs="Times New Roman"/>
          <w:sz w:val="24"/>
          <w:szCs w:val="24"/>
        </w:rPr>
        <w:t xml:space="preserve">W 2009 roku na realizację aktywnych form przeciwdziałania bezrobociu przeznaczono w Wielkopolsce 265 982,2 tys. zł, w 2010 roku kwota ta wzrosła do 360 805,4 tys. zł. Rok 2011 wiązał się </w:t>
      </w:r>
      <w:r w:rsidR="00952150">
        <w:rPr>
          <w:rFonts w:ascii="Times New Roman" w:hAnsi="Times New Roman" w:cs="Times New Roman"/>
          <w:sz w:val="24"/>
          <w:szCs w:val="24"/>
        </w:rPr>
        <w:br/>
      </w:r>
      <w:r w:rsidR="00385304">
        <w:rPr>
          <w:rFonts w:ascii="Times New Roman" w:hAnsi="Times New Roman" w:cs="Times New Roman"/>
          <w:sz w:val="24"/>
          <w:szCs w:val="24"/>
        </w:rPr>
        <w:t xml:space="preserve">z ograniczeniem wysokości środków Funduszu Pracy przeznaczonych na aktywne </w:t>
      </w:r>
      <w:r w:rsidR="00DB1039">
        <w:rPr>
          <w:rFonts w:ascii="Times New Roman" w:hAnsi="Times New Roman" w:cs="Times New Roman"/>
          <w:sz w:val="24"/>
          <w:szCs w:val="24"/>
        </w:rPr>
        <w:t xml:space="preserve">programy </w:t>
      </w:r>
      <w:r w:rsidR="00385304">
        <w:rPr>
          <w:rFonts w:ascii="Times New Roman" w:hAnsi="Times New Roman" w:cs="Times New Roman"/>
          <w:sz w:val="24"/>
          <w:szCs w:val="24"/>
        </w:rPr>
        <w:t>rynku pracy. Wielkopolska otrzymała na ten cel 132 827,1 tys. zł, tj. o ponad 6</w:t>
      </w:r>
      <w:r w:rsidR="00E67139">
        <w:rPr>
          <w:rFonts w:ascii="Times New Roman" w:hAnsi="Times New Roman" w:cs="Times New Roman"/>
          <w:sz w:val="24"/>
          <w:szCs w:val="24"/>
        </w:rPr>
        <w:t>3</w:t>
      </w:r>
      <w:r w:rsidR="00385304">
        <w:rPr>
          <w:rFonts w:ascii="Times New Roman" w:hAnsi="Times New Roman" w:cs="Times New Roman"/>
          <w:sz w:val="24"/>
          <w:szCs w:val="24"/>
        </w:rPr>
        <w:t xml:space="preserve">% mniej niż w roku poprzednim. </w:t>
      </w:r>
    </w:p>
    <w:p w:rsidR="00FA7CD3" w:rsidRDefault="00D752D4" w:rsidP="003853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 omawianym okresie, ogółem zaktywizowano 49 132 osoby poniżej 25 roku życia, co stanowiło 41,5% </w:t>
      </w:r>
      <w:r w:rsidR="001D1C5F">
        <w:rPr>
          <w:rFonts w:ascii="Times New Roman" w:hAnsi="Times New Roman" w:cs="Times New Roman"/>
          <w:sz w:val="24"/>
          <w:szCs w:val="24"/>
        </w:rPr>
        <w:t>wszy</w:t>
      </w:r>
      <w:r>
        <w:rPr>
          <w:rFonts w:ascii="Times New Roman" w:hAnsi="Times New Roman" w:cs="Times New Roman"/>
          <w:sz w:val="24"/>
          <w:szCs w:val="24"/>
        </w:rPr>
        <w:t>stkich osób objętych wsparciem oraz 14 492 osoby powyżej 50 roku życia, tj. 12,2% ogółu zaktywizowanych osób bezrobotnych</w:t>
      </w:r>
      <w:r w:rsidR="00C9046A">
        <w:rPr>
          <w:rFonts w:ascii="Times New Roman" w:hAnsi="Times New Roman" w:cs="Times New Roman"/>
          <w:sz w:val="24"/>
          <w:szCs w:val="24"/>
        </w:rPr>
        <w:t>.</w:t>
      </w:r>
    </w:p>
    <w:p w:rsidR="008D389C" w:rsidRPr="00FA7CD3" w:rsidRDefault="008D389C" w:rsidP="00385304">
      <w:pPr>
        <w:spacing w:after="0" w:line="360" w:lineRule="auto"/>
        <w:ind w:firstLine="709"/>
        <w:jc w:val="both"/>
        <w:rPr>
          <w:rFonts w:ascii="Times New Roman" w:hAnsi="Times New Roman" w:cs="Times New Roman"/>
          <w:sz w:val="24"/>
          <w:szCs w:val="24"/>
        </w:rPr>
      </w:pPr>
    </w:p>
    <w:p w:rsidR="00581816" w:rsidRDefault="00C15ACC" w:rsidP="00730B52">
      <w:r>
        <w:t xml:space="preserve">Wykres </w:t>
      </w:r>
      <w:r w:rsidR="00FE3069">
        <w:t>12</w:t>
      </w:r>
      <w:r w:rsidR="00806155">
        <w:t>.</w:t>
      </w:r>
      <w:r>
        <w:t xml:space="preserve"> Aktywizacja osób bezrobotnych w Wielkopolsce w latach 2009-2011</w:t>
      </w:r>
    </w:p>
    <w:p w:rsidR="00856049" w:rsidRDefault="0093103A" w:rsidP="00856049">
      <w:pPr>
        <w:jc w:val="center"/>
      </w:pPr>
      <w:r>
        <w:rPr>
          <w:noProof/>
          <w:lang w:eastAsia="pl-PL"/>
        </w:rPr>
        <w:drawing>
          <wp:inline distT="0" distB="0" distL="0" distR="0" wp14:anchorId="41FCAB1B" wp14:editId="153D01BA">
            <wp:extent cx="4572000" cy="274320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81816" w:rsidRDefault="00581816" w:rsidP="00581816">
      <w:pPr>
        <w:jc w:val="center"/>
      </w:pPr>
    </w:p>
    <w:p w:rsidR="00B02C78" w:rsidRDefault="00B02C78" w:rsidP="00581816">
      <w:pPr>
        <w:jc w:val="center"/>
      </w:pPr>
    </w:p>
    <w:p w:rsidR="00C004FF" w:rsidRPr="00C004FF" w:rsidRDefault="00C004FF" w:rsidP="00C004F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Bezrobotne osoby młode najczęściej brały udział w </w:t>
      </w:r>
      <w:r w:rsidR="00385304">
        <w:rPr>
          <w:rFonts w:ascii="Times New Roman" w:hAnsi="Times New Roman" w:cs="Times New Roman"/>
          <w:sz w:val="24"/>
          <w:szCs w:val="24"/>
        </w:rPr>
        <w:t>stażach</w:t>
      </w:r>
      <w:r w:rsidR="009818E9">
        <w:rPr>
          <w:rFonts w:ascii="Times New Roman" w:hAnsi="Times New Roman" w:cs="Times New Roman"/>
          <w:sz w:val="24"/>
          <w:szCs w:val="24"/>
        </w:rPr>
        <w:t xml:space="preserve"> (62,2%)</w:t>
      </w:r>
      <w:r w:rsidR="00385304">
        <w:rPr>
          <w:rFonts w:ascii="Times New Roman" w:hAnsi="Times New Roman" w:cs="Times New Roman"/>
          <w:sz w:val="24"/>
          <w:szCs w:val="24"/>
        </w:rPr>
        <w:t>, dzięki którym miały możliwość zdobycia doświadczenia zawodowego</w:t>
      </w:r>
      <w:r w:rsidR="009818E9">
        <w:rPr>
          <w:rFonts w:ascii="Times New Roman" w:hAnsi="Times New Roman" w:cs="Times New Roman"/>
          <w:sz w:val="24"/>
          <w:szCs w:val="24"/>
        </w:rPr>
        <w:t>. Młode osoby był</w:t>
      </w:r>
      <w:r w:rsidR="006748A1">
        <w:rPr>
          <w:rFonts w:ascii="Times New Roman" w:hAnsi="Times New Roman" w:cs="Times New Roman"/>
          <w:sz w:val="24"/>
          <w:szCs w:val="24"/>
        </w:rPr>
        <w:t>y również często kierowane na szkolenia</w:t>
      </w:r>
      <w:r w:rsidR="00ED7ED8">
        <w:rPr>
          <w:rFonts w:ascii="Times New Roman" w:hAnsi="Times New Roman" w:cs="Times New Roman"/>
          <w:sz w:val="24"/>
          <w:szCs w:val="24"/>
        </w:rPr>
        <w:t xml:space="preserve"> (16,8%)</w:t>
      </w:r>
      <w:r w:rsidR="006748A1">
        <w:rPr>
          <w:rFonts w:ascii="Times New Roman" w:hAnsi="Times New Roman" w:cs="Times New Roman"/>
          <w:sz w:val="24"/>
          <w:szCs w:val="24"/>
        </w:rPr>
        <w:t xml:space="preserve">, które umożliwiają zdobycie nowych lub podwyższenie dotychczasowych kwalifikacji zawodowych. </w:t>
      </w:r>
      <w:r w:rsidR="00ED7ED8">
        <w:rPr>
          <w:rFonts w:ascii="Times New Roman" w:hAnsi="Times New Roman" w:cs="Times New Roman"/>
          <w:sz w:val="24"/>
          <w:szCs w:val="24"/>
        </w:rPr>
        <w:t>W latach 2009-2011 3 319 osób młodych otrzymało jednorazowe środki na podjęcie działalności gospodar</w:t>
      </w:r>
      <w:r w:rsidR="00383990">
        <w:rPr>
          <w:rFonts w:ascii="Times New Roman" w:hAnsi="Times New Roman" w:cs="Times New Roman"/>
          <w:sz w:val="24"/>
          <w:szCs w:val="24"/>
        </w:rPr>
        <w:t xml:space="preserve">cze a pracodawcy utworzyli miejsca pracy dla 3 891 bezrobotnych </w:t>
      </w:r>
      <w:r w:rsidR="0093103A">
        <w:rPr>
          <w:rFonts w:ascii="Times New Roman" w:hAnsi="Times New Roman" w:cs="Times New Roman"/>
          <w:sz w:val="24"/>
          <w:szCs w:val="24"/>
        </w:rPr>
        <w:t>poniżej 25</w:t>
      </w:r>
      <w:r w:rsidR="002E0CEC">
        <w:rPr>
          <w:rFonts w:ascii="Times New Roman" w:hAnsi="Times New Roman" w:cs="Times New Roman"/>
          <w:sz w:val="24"/>
          <w:szCs w:val="24"/>
        </w:rPr>
        <w:t xml:space="preserve"> roku życia</w:t>
      </w:r>
      <w:r w:rsidR="00383990">
        <w:rPr>
          <w:rFonts w:ascii="Times New Roman" w:hAnsi="Times New Roman" w:cs="Times New Roman"/>
          <w:sz w:val="24"/>
          <w:szCs w:val="24"/>
        </w:rPr>
        <w:t>.</w:t>
      </w:r>
    </w:p>
    <w:p w:rsidR="00DB1039" w:rsidRDefault="00DB1039" w:rsidP="00C15ACC">
      <w:pPr>
        <w:jc w:val="both"/>
      </w:pPr>
    </w:p>
    <w:p w:rsidR="00581816" w:rsidRDefault="00C15ACC" w:rsidP="00C15ACC">
      <w:pPr>
        <w:jc w:val="both"/>
      </w:pPr>
      <w:r>
        <w:t xml:space="preserve">Wykres </w:t>
      </w:r>
      <w:r w:rsidR="00806155">
        <w:t>1</w:t>
      </w:r>
      <w:r w:rsidR="00FE3069">
        <w:t>3</w:t>
      </w:r>
      <w:r w:rsidR="00806155">
        <w:t>.</w:t>
      </w:r>
      <w:r>
        <w:t xml:space="preserve"> Aktywizacja osób bezrobotnych </w:t>
      </w:r>
      <w:r w:rsidR="0093103A">
        <w:t>poniżej 25</w:t>
      </w:r>
      <w:r w:rsidR="002E0CEC">
        <w:t xml:space="preserve"> roku życia</w:t>
      </w:r>
      <w:r>
        <w:t>, w latach 2009 -2011, według aktywnych form przeciwdziałania bezrobociu</w:t>
      </w:r>
    </w:p>
    <w:p w:rsidR="00825C02" w:rsidRDefault="00294289" w:rsidP="00294289">
      <w:pPr>
        <w:ind w:left="-567"/>
        <w:jc w:val="center"/>
      </w:pPr>
      <w:r>
        <w:rPr>
          <w:noProof/>
          <w:lang w:eastAsia="pl-PL"/>
        </w:rPr>
        <w:drawing>
          <wp:inline distT="0" distB="0" distL="0" distR="0" wp14:anchorId="3AC50FD6" wp14:editId="75D4DACD">
            <wp:extent cx="6457950" cy="2943225"/>
            <wp:effectExtent l="0" t="0" r="0" b="9525"/>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25C02" w:rsidRDefault="00825C02" w:rsidP="00730B52"/>
    <w:p w:rsidR="008F13F9" w:rsidRDefault="00C800E4" w:rsidP="00DB1039">
      <w:pPr>
        <w:spacing w:line="360" w:lineRule="auto"/>
        <w:jc w:val="both"/>
        <w:rPr>
          <w:rFonts w:ascii="Times New Roman" w:hAnsi="Times New Roman" w:cs="Times New Roman"/>
          <w:sz w:val="24"/>
          <w:szCs w:val="24"/>
        </w:rPr>
      </w:pPr>
      <w:r>
        <w:rPr>
          <w:rFonts w:ascii="Times New Roman" w:hAnsi="Times New Roman" w:cs="Times New Roman"/>
          <w:sz w:val="24"/>
          <w:szCs w:val="24"/>
        </w:rPr>
        <w:tab/>
        <w:t>Bezrobotni powyżej 50 roku życia, w latach 2009-2010, najczęściej kierowani byli do udziału w szkoleniach oraz robotach publicznych. Ograniczenie środków na aktywizację bezrobotnych w 2011 roku, spowodowało znaczący spadek udziału tych osób we wspomnianych aktywnych formach. W 2011 roku najwięcej osób objęto wsparciem w ramach prac społecznie użytecznych. Oprócz wymienionych wcześniej form przeciwdziałania bezrobociu, wśród osób pow</w:t>
      </w:r>
      <w:r w:rsidR="008F13F9">
        <w:rPr>
          <w:rFonts w:ascii="Times New Roman" w:hAnsi="Times New Roman" w:cs="Times New Roman"/>
          <w:sz w:val="24"/>
          <w:szCs w:val="24"/>
        </w:rPr>
        <w:t>yżej 50 roku życia, popularne były</w:t>
      </w:r>
      <w:r>
        <w:rPr>
          <w:rFonts w:ascii="Times New Roman" w:hAnsi="Times New Roman" w:cs="Times New Roman"/>
          <w:sz w:val="24"/>
          <w:szCs w:val="24"/>
        </w:rPr>
        <w:t xml:space="preserve"> także staże oraz dotacje na podjęcie działalności gospodarczej.</w:t>
      </w:r>
    </w:p>
    <w:p w:rsidR="00DB1039" w:rsidRDefault="00DB1039" w:rsidP="00DB1039">
      <w:pPr>
        <w:spacing w:line="360" w:lineRule="auto"/>
        <w:jc w:val="both"/>
        <w:rPr>
          <w:rFonts w:ascii="Times New Roman" w:hAnsi="Times New Roman" w:cs="Times New Roman"/>
          <w:sz w:val="24"/>
          <w:szCs w:val="24"/>
        </w:rPr>
      </w:pPr>
    </w:p>
    <w:p w:rsidR="00DB1039" w:rsidRDefault="00DB1039" w:rsidP="00DB1039">
      <w:pPr>
        <w:spacing w:line="360" w:lineRule="auto"/>
        <w:jc w:val="both"/>
        <w:rPr>
          <w:rFonts w:ascii="Times New Roman" w:hAnsi="Times New Roman" w:cs="Times New Roman"/>
          <w:sz w:val="24"/>
          <w:szCs w:val="24"/>
        </w:rPr>
      </w:pPr>
    </w:p>
    <w:p w:rsidR="00C15ACC" w:rsidRDefault="00C15ACC" w:rsidP="00C15ACC">
      <w:pPr>
        <w:jc w:val="both"/>
      </w:pPr>
      <w:r>
        <w:rPr>
          <w:noProof/>
          <w:lang w:eastAsia="pl-PL"/>
        </w:rPr>
        <w:lastRenderedPageBreak/>
        <w:t xml:space="preserve">Wykres </w:t>
      </w:r>
      <w:r w:rsidR="00806155">
        <w:rPr>
          <w:noProof/>
          <w:lang w:eastAsia="pl-PL"/>
        </w:rPr>
        <w:t>1</w:t>
      </w:r>
      <w:r w:rsidR="00FE3069">
        <w:rPr>
          <w:noProof/>
          <w:lang w:eastAsia="pl-PL"/>
        </w:rPr>
        <w:t>4</w:t>
      </w:r>
      <w:r w:rsidR="00806155">
        <w:rPr>
          <w:noProof/>
          <w:lang w:eastAsia="pl-PL"/>
        </w:rPr>
        <w:t>.</w:t>
      </w:r>
      <w:r>
        <w:rPr>
          <w:noProof/>
          <w:lang w:eastAsia="pl-PL"/>
        </w:rPr>
        <w:t xml:space="preserve"> </w:t>
      </w:r>
      <w:r>
        <w:t>Aktywizacja osób bezrobotnych powyżej 50 roku życia, w latach 2009 -2011, według aktywnych form przeciwdziałania bezrobociu</w:t>
      </w:r>
    </w:p>
    <w:p w:rsidR="00ED30AC" w:rsidRDefault="00ED30AC" w:rsidP="00730B52">
      <w:pPr>
        <w:rPr>
          <w:noProof/>
          <w:lang w:eastAsia="pl-PL"/>
        </w:rPr>
      </w:pPr>
    </w:p>
    <w:p w:rsidR="00ED30AC" w:rsidRDefault="00294289" w:rsidP="00795D7C">
      <w:pPr>
        <w:jc w:val="center"/>
        <w:rPr>
          <w:noProof/>
          <w:lang w:eastAsia="pl-PL"/>
        </w:rPr>
      </w:pPr>
      <w:r>
        <w:rPr>
          <w:noProof/>
          <w:lang w:eastAsia="pl-PL"/>
        </w:rPr>
        <w:drawing>
          <wp:inline distT="0" distB="0" distL="0" distR="0" wp14:anchorId="4C60635A" wp14:editId="1F3C1971">
            <wp:extent cx="5760720" cy="3048784"/>
            <wp:effectExtent l="0" t="0" r="0" b="0"/>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83FFD" w:rsidRDefault="00D83FFD" w:rsidP="00795D7C">
      <w:pPr>
        <w:jc w:val="center"/>
        <w:rPr>
          <w:noProof/>
          <w:lang w:eastAsia="pl-PL"/>
        </w:rPr>
      </w:pPr>
    </w:p>
    <w:p w:rsidR="00ED30AC" w:rsidRPr="00730B52" w:rsidRDefault="00ED30AC" w:rsidP="00730B52"/>
    <w:p w:rsidR="00FE4034" w:rsidRDefault="007E709D" w:rsidP="00730B52">
      <w:pPr>
        <w:pStyle w:val="Nagwek2"/>
        <w:numPr>
          <w:ilvl w:val="0"/>
          <w:numId w:val="9"/>
        </w:numPr>
        <w:spacing w:before="0" w:line="360" w:lineRule="auto"/>
        <w:jc w:val="both"/>
      </w:pPr>
      <w:bookmarkStart w:id="10" w:name="_Toc333477259"/>
      <w:r w:rsidRPr="007E709D">
        <w:t>Programy z rezerwy M</w:t>
      </w:r>
      <w:r w:rsidR="009921E2">
        <w:t xml:space="preserve">inisterstwa </w:t>
      </w:r>
      <w:r w:rsidRPr="007E709D">
        <w:t>P</w:t>
      </w:r>
      <w:r w:rsidR="009921E2">
        <w:t xml:space="preserve">racy </w:t>
      </w:r>
      <w:r w:rsidRPr="007E709D">
        <w:t>i</w:t>
      </w:r>
      <w:r w:rsidR="009921E2">
        <w:t xml:space="preserve"> </w:t>
      </w:r>
      <w:r w:rsidRPr="007E709D">
        <w:t>P</w:t>
      </w:r>
      <w:r w:rsidR="009921E2">
        <w:t xml:space="preserve">olityki </w:t>
      </w:r>
      <w:r w:rsidRPr="007E709D">
        <w:t>S</w:t>
      </w:r>
      <w:r w:rsidR="009921E2">
        <w:t>połecznej</w:t>
      </w:r>
      <w:r w:rsidRPr="007E709D">
        <w:t xml:space="preserve"> </w:t>
      </w:r>
      <w:r w:rsidR="009921E2">
        <w:t>(</w:t>
      </w:r>
      <w:proofErr w:type="spellStart"/>
      <w:r w:rsidR="009921E2">
        <w:t>MPiPS</w:t>
      </w:r>
      <w:proofErr w:type="spellEnd"/>
      <w:r w:rsidR="009921E2">
        <w:t xml:space="preserve">) </w:t>
      </w:r>
      <w:r w:rsidRPr="007E709D">
        <w:t>oraz programy specjalne na rzecz osób bezrobotnych poniżej 30 oraz powyżej 45/50 roku życia</w:t>
      </w:r>
      <w:bookmarkEnd w:id="10"/>
    </w:p>
    <w:p w:rsidR="003E0F58" w:rsidRPr="003E0F58" w:rsidRDefault="003E0F58" w:rsidP="003E0F58">
      <w:pPr>
        <w:spacing w:after="0" w:line="360" w:lineRule="auto"/>
        <w:jc w:val="both"/>
        <w:rPr>
          <w:rFonts w:ascii="Times New Roman" w:hAnsi="Times New Roman" w:cs="Times New Roman"/>
          <w:sz w:val="24"/>
          <w:szCs w:val="24"/>
        </w:rPr>
      </w:pPr>
    </w:p>
    <w:p w:rsidR="00E9480A" w:rsidRDefault="003E0F58" w:rsidP="003E0F58">
      <w:pPr>
        <w:spacing w:after="0" w:line="360" w:lineRule="auto"/>
        <w:ind w:firstLine="708"/>
        <w:jc w:val="both"/>
        <w:rPr>
          <w:rFonts w:ascii="Times New Roman" w:hAnsi="Times New Roman" w:cs="Times New Roman"/>
          <w:sz w:val="24"/>
          <w:szCs w:val="24"/>
        </w:rPr>
      </w:pPr>
      <w:r w:rsidRPr="003E0F58">
        <w:rPr>
          <w:rFonts w:ascii="Times New Roman" w:hAnsi="Times New Roman" w:cs="Times New Roman"/>
          <w:sz w:val="24"/>
          <w:szCs w:val="24"/>
        </w:rPr>
        <w:t xml:space="preserve">W związku z niezmiennie trudną sytuacją na rynku pracy osób młodych oraz powyżej 45/50 roku życia, </w:t>
      </w:r>
      <w:r>
        <w:rPr>
          <w:rFonts w:ascii="Times New Roman" w:hAnsi="Times New Roman" w:cs="Times New Roman"/>
          <w:sz w:val="24"/>
          <w:szCs w:val="24"/>
        </w:rPr>
        <w:t xml:space="preserve">obok realizowanych przez </w:t>
      </w:r>
      <w:r w:rsidR="00DB1039">
        <w:rPr>
          <w:rFonts w:ascii="Times New Roman" w:hAnsi="Times New Roman" w:cs="Times New Roman"/>
          <w:sz w:val="24"/>
          <w:szCs w:val="24"/>
        </w:rPr>
        <w:t>p</w:t>
      </w:r>
      <w:r w:rsidR="00F16D99">
        <w:rPr>
          <w:rFonts w:ascii="Times New Roman" w:hAnsi="Times New Roman" w:cs="Times New Roman"/>
          <w:sz w:val="24"/>
          <w:szCs w:val="24"/>
        </w:rPr>
        <w:t xml:space="preserve">owiatowe </w:t>
      </w:r>
      <w:r w:rsidR="00DB1039">
        <w:rPr>
          <w:rFonts w:ascii="Times New Roman" w:hAnsi="Times New Roman" w:cs="Times New Roman"/>
          <w:sz w:val="24"/>
          <w:szCs w:val="24"/>
        </w:rPr>
        <w:t>u</w:t>
      </w:r>
      <w:r w:rsidR="00F16D99">
        <w:rPr>
          <w:rFonts w:ascii="Times New Roman" w:hAnsi="Times New Roman" w:cs="Times New Roman"/>
          <w:sz w:val="24"/>
          <w:szCs w:val="24"/>
        </w:rPr>
        <w:t xml:space="preserve">rzędy </w:t>
      </w:r>
      <w:r w:rsidR="00DB1039">
        <w:rPr>
          <w:rFonts w:ascii="Times New Roman" w:hAnsi="Times New Roman" w:cs="Times New Roman"/>
          <w:sz w:val="24"/>
          <w:szCs w:val="24"/>
        </w:rPr>
        <w:t>p</w:t>
      </w:r>
      <w:r>
        <w:rPr>
          <w:rFonts w:ascii="Times New Roman" w:hAnsi="Times New Roman" w:cs="Times New Roman"/>
          <w:sz w:val="24"/>
          <w:szCs w:val="24"/>
        </w:rPr>
        <w:t xml:space="preserve">racy aktywnych form przeciwdziałania bezrobociu, </w:t>
      </w:r>
      <w:r w:rsidRPr="003E0F58">
        <w:rPr>
          <w:rFonts w:ascii="Times New Roman" w:hAnsi="Times New Roman" w:cs="Times New Roman"/>
          <w:sz w:val="24"/>
          <w:szCs w:val="24"/>
        </w:rPr>
        <w:t xml:space="preserve">resort pracy systematycznie uruchamia programy </w:t>
      </w:r>
      <w:r>
        <w:rPr>
          <w:rFonts w:ascii="Times New Roman" w:hAnsi="Times New Roman" w:cs="Times New Roman"/>
          <w:sz w:val="24"/>
          <w:szCs w:val="24"/>
        </w:rPr>
        <w:t xml:space="preserve">rządowe, </w:t>
      </w:r>
      <w:r w:rsidR="0040517B">
        <w:rPr>
          <w:rFonts w:ascii="Times New Roman" w:hAnsi="Times New Roman" w:cs="Times New Roman"/>
          <w:sz w:val="24"/>
          <w:szCs w:val="24"/>
        </w:rPr>
        <w:br/>
      </w:r>
      <w:r>
        <w:rPr>
          <w:rFonts w:ascii="Times New Roman" w:hAnsi="Times New Roman" w:cs="Times New Roman"/>
          <w:sz w:val="24"/>
          <w:szCs w:val="24"/>
        </w:rPr>
        <w:t>w tym specjalne, wspierające działania publicznych służb zatrudnienia na rzecz tych osób. Dodatkowe środki przeznaczone na ten cel pozwalają na podjęcie przez samorządy powiatowe kompleksowych działań na rzecz osób, które ze względu na niełatwą sytuacje na regionalnym i lokalnych rynkach pracy, mają utrudniany start lub powrót do aktywności zawodowej.</w:t>
      </w:r>
    </w:p>
    <w:p w:rsidR="003E0F58" w:rsidRDefault="003E0F58" w:rsidP="00DF09E9">
      <w:pPr>
        <w:spacing w:after="0"/>
      </w:pPr>
    </w:p>
    <w:p w:rsidR="006C5183" w:rsidRDefault="006C5183" w:rsidP="00DF09E9">
      <w:pPr>
        <w:spacing w:after="0"/>
      </w:pPr>
    </w:p>
    <w:p w:rsidR="0040517B" w:rsidRDefault="0040517B" w:rsidP="00DF09E9">
      <w:pPr>
        <w:spacing w:after="0"/>
      </w:pPr>
    </w:p>
    <w:p w:rsidR="0040517B" w:rsidRDefault="0040517B" w:rsidP="00DF09E9">
      <w:pPr>
        <w:spacing w:after="0"/>
      </w:pPr>
    </w:p>
    <w:p w:rsidR="0040517B" w:rsidRDefault="0040517B" w:rsidP="00DF09E9">
      <w:pPr>
        <w:spacing w:after="0"/>
      </w:pPr>
    </w:p>
    <w:p w:rsidR="0077152B" w:rsidRDefault="0077152B" w:rsidP="00DF09E9">
      <w:pPr>
        <w:pStyle w:val="Nagwek3"/>
        <w:numPr>
          <w:ilvl w:val="1"/>
          <w:numId w:val="9"/>
        </w:numPr>
        <w:spacing w:before="0" w:line="360" w:lineRule="auto"/>
      </w:pPr>
      <w:bookmarkStart w:id="11" w:name="_Toc333477260"/>
      <w:r>
        <w:lastRenderedPageBreak/>
        <w:t>Rok 2009</w:t>
      </w:r>
      <w:bookmarkEnd w:id="11"/>
      <w:r>
        <w:t xml:space="preserve"> </w:t>
      </w:r>
    </w:p>
    <w:p w:rsidR="0077152B" w:rsidRDefault="0077152B" w:rsidP="0077152B"/>
    <w:p w:rsidR="00F76262" w:rsidRDefault="0077152B" w:rsidP="004A39DF">
      <w:pPr>
        <w:spacing w:after="0" w:line="360" w:lineRule="auto"/>
        <w:ind w:firstLine="708"/>
        <w:jc w:val="both"/>
        <w:rPr>
          <w:rFonts w:ascii="Times New Roman" w:hAnsi="Times New Roman" w:cs="Times New Roman"/>
          <w:sz w:val="24"/>
          <w:szCs w:val="24"/>
        </w:rPr>
      </w:pPr>
      <w:r w:rsidRPr="0077152B">
        <w:rPr>
          <w:rFonts w:ascii="Times New Roman" w:hAnsi="Times New Roman" w:cs="Times New Roman"/>
          <w:sz w:val="24"/>
          <w:szCs w:val="24"/>
        </w:rPr>
        <w:t>W 2</w:t>
      </w:r>
      <w:r w:rsidR="00231F69">
        <w:rPr>
          <w:rFonts w:ascii="Times New Roman" w:hAnsi="Times New Roman" w:cs="Times New Roman"/>
          <w:sz w:val="24"/>
          <w:szCs w:val="24"/>
        </w:rPr>
        <w:t>009 roku możliwa była realizacja</w:t>
      </w:r>
      <w:r w:rsidRPr="0077152B">
        <w:rPr>
          <w:rFonts w:ascii="Times New Roman" w:hAnsi="Times New Roman" w:cs="Times New Roman"/>
          <w:sz w:val="24"/>
          <w:szCs w:val="24"/>
        </w:rPr>
        <w:t xml:space="preserve"> przez samorządy powiatowe 5 programów finansowanych z rezerwy </w:t>
      </w:r>
      <w:proofErr w:type="spellStart"/>
      <w:r w:rsidR="009921E2">
        <w:rPr>
          <w:rFonts w:ascii="Times New Roman" w:hAnsi="Times New Roman" w:cs="Times New Roman"/>
          <w:sz w:val="24"/>
          <w:szCs w:val="24"/>
        </w:rPr>
        <w:t>MPiPS</w:t>
      </w:r>
      <w:proofErr w:type="spellEnd"/>
      <w:r w:rsidR="00F76262">
        <w:rPr>
          <w:rFonts w:ascii="Times New Roman" w:hAnsi="Times New Roman" w:cs="Times New Roman"/>
          <w:sz w:val="24"/>
          <w:szCs w:val="24"/>
        </w:rPr>
        <w:t>, tj.:</w:t>
      </w:r>
    </w:p>
    <w:p w:rsidR="00F76262" w:rsidRDefault="00F76262" w:rsidP="004A39DF">
      <w:pPr>
        <w:numPr>
          <w:ilvl w:val="0"/>
          <w:numId w:val="10"/>
        </w:numPr>
        <w:spacing w:after="0" w:line="360" w:lineRule="auto"/>
        <w:jc w:val="both"/>
        <w:rPr>
          <w:rFonts w:ascii="Times New Roman" w:hAnsi="Times New Roman" w:cs="Times New Roman"/>
          <w:sz w:val="24"/>
          <w:szCs w:val="24"/>
        </w:rPr>
      </w:pPr>
      <w:r w:rsidRPr="0077152B">
        <w:rPr>
          <w:rFonts w:ascii="Times New Roman" w:hAnsi="Times New Roman" w:cs="Times New Roman"/>
          <w:sz w:val="24"/>
          <w:szCs w:val="24"/>
        </w:rPr>
        <w:t>programów zwiększających aktywność zawodową osób w wieku 45/50 plus,</w:t>
      </w:r>
    </w:p>
    <w:p w:rsidR="00F76262" w:rsidRPr="0077152B" w:rsidRDefault="00F76262" w:rsidP="004A39DF">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programów aktywizacji zawodowej osób do 30 roku życia,</w:t>
      </w:r>
    </w:p>
    <w:p w:rsidR="00F76262" w:rsidRPr="0077152B" w:rsidRDefault="00F76262" w:rsidP="004A39DF">
      <w:pPr>
        <w:numPr>
          <w:ilvl w:val="0"/>
          <w:numId w:val="10"/>
        </w:numPr>
        <w:spacing w:after="0" w:line="360" w:lineRule="auto"/>
        <w:jc w:val="both"/>
        <w:rPr>
          <w:rFonts w:ascii="Times New Roman" w:hAnsi="Times New Roman" w:cs="Times New Roman"/>
          <w:sz w:val="24"/>
          <w:szCs w:val="24"/>
        </w:rPr>
      </w:pPr>
      <w:r w:rsidRPr="0077152B">
        <w:rPr>
          <w:rFonts w:ascii="Times New Roman" w:hAnsi="Times New Roman" w:cs="Times New Roman"/>
          <w:sz w:val="24"/>
          <w:szCs w:val="24"/>
        </w:rPr>
        <w:t>programów aktywizacji zawodowej bezrobotnych zwolnionych z pracy z przyczyn niedotyczących pracowników oraz pracowników objętych zwolnieniami monitorowanymi,</w:t>
      </w:r>
    </w:p>
    <w:p w:rsidR="00F76262" w:rsidRDefault="00F76262" w:rsidP="00F76262">
      <w:pPr>
        <w:numPr>
          <w:ilvl w:val="0"/>
          <w:numId w:val="10"/>
        </w:numPr>
        <w:spacing w:after="0" w:line="360" w:lineRule="auto"/>
        <w:jc w:val="both"/>
        <w:rPr>
          <w:rFonts w:ascii="Times New Roman" w:hAnsi="Times New Roman" w:cs="Times New Roman"/>
          <w:sz w:val="24"/>
          <w:szCs w:val="24"/>
        </w:rPr>
      </w:pPr>
      <w:r w:rsidRPr="0077152B">
        <w:rPr>
          <w:rFonts w:ascii="Times New Roman" w:hAnsi="Times New Roman" w:cs="Times New Roman"/>
          <w:sz w:val="24"/>
          <w:szCs w:val="24"/>
        </w:rPr>
        <w:t>programów związanych z aktywizacją osób bezrobotnych na terenach, na których miały miejsce klęski żywiołowe,</w:t>
      </w:r>
    </w:p>
    <w:p w:rsidR="00F76262" w:rsidRPr="0077152B" w:rsidRDefault="00F76262" w:rsidP="00F76262">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programów związanych z rozwojem małej i średniej przedsiębiorczości.</w:t>
      </w:r>
    </w:p>
    <w:p w:rsidR="00231F69" w:rsidRDefault="00F76262" w:rsidP="00231F6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w:t>
      </w:r>
      <w:r w:rsidR="0077152B">
        <w:rPr>
          <w:rFonts w:ascii="Times New Roman" w:hAnsi="Times New Roman" w:cs="Times New Roman"/>
          <w:sz w:val="24"/>
          <w:szCs w:val="24"/>
        </w:rPr>
        <w:t>działania w ramach</w:t>
      </w:r>
      <w:r>
        <w:rPr>
          <w:rFonts w:ascii="Times New Roman" w:hAnsi="Times New Roman" w:cs="Times New Roman"/>
          <w:sz w:val="24"/>
          <w:szCs w:val="24"/>
        </w:rPr>
        <w:t xml:space="preserve"> programu aktywizacji osób bezrobotnych do 30 roku życia</w:t>
      </w:r>
      <w:r w:rsidR="0077152B">
        <w:rPr>
          <w:rFonts w:ascii="Times New Roman" w:hAnsi="Times New Roman" w:cs="Times New Roman"/>
          <w:sz w:val="24"/>
          <w:szCs w:val="24"/>
        </w:rPr>
        <w:t xml:space="preserve">, realizowanego przez 26 </w:t>
      </w:r>
      <w:r w:rsidR="004A39DF">
        <w:rPr>
          <w:rFonts w:ascii="Times New Roman" w:hAnsi="Times New Roman" w:cs="Times New Roman"/>
          <w:sz w:val="24"/>
          <w:szCs w:val="24"/>
        </w:rPr>
        <w:t>samorządów powiato</w:t>
      </w:r>
      <w:r w:rsidR="0077152B">
        <w:rPr>
          <w:rFonts w:ascii="Times New Roman" w:hAnsi="Times New Roman" w:cs="Times New Roman"/>
          <w:sz w:val="24"/>
          <w:szCs w:val="24"/>
        </w:rPr>
        <w:t>w</w:t>
      </w:r>
      <w:r w:rsidR="004A39DF">
        <w:rPr>
          <w:rFonts w:ascii="Times New Roman" w:hAnsi="Times New Roman" w:cs="Times New Roman"/>
          <w:sz w:val="24"/>
          <w:szCs w:val="24"/>
        </w:rPr>
        <w:t>ych</w:t>
      </w:r>
      <w:r w:rsidR="00231F69">
        <w:rPr>
          <w:rFonts w:ascii="Times New Roman" w:hAnsi="Times New Roman" w:cs="Times New Roman"/>
          <w:sz w:val="24"/>
          <w:szCs w:val="24"/>
        </w:rPr>
        <w:t xml:space="preserve"> (chodzieski, czarnkowsko-trzcianecki, gnieźnieński, gostyński, grodziski, jarociński, kaliski, kolski, kościański, krotoszyński, leszczyński, międzychodzki, nowotomyski, ostrowski, ostrzeszowski, pilski, pleszewski, poznański, rawicki, słupecki, średzki, turecki</w:t>
      </w:r>
      <w:r w:rsidR="0077152B">
        <w:rPr>
          <w:rFonts w:ascii="Times New Roman" w:hAnsi="Times New Roman" w:cs="Times New Roman"/>
          <w:sz w:val="24"/>
          <w:szCs w:val="24"/>
        </w:rPr>
        <w:t>,</w:t>
      </w:r>
      <w:r w:rsidR="00231F69">
        <w:rPr>
          <w:rFonts w:ascii="Times New Roman" w:hAnsi="Times New Roman" w:cs="Times New Roman"/>
          <w:sz w:val="24"/>
          <w:szCs w:val="24"/>
        </w:rPr>
        <w:t xml:space="preserve"> wągrowiecki, wolsztyński, wrzesiński, złotowski),</w:t>
      </w:r>
      <w:r w:rsidR="0077152B">
        <w:rPr>
          <w:rFonts w:ascii="Times New Roman" w:hAnsi="Times New Roman" w:cs="Times New Roman"/>
          <w:sz w:val="24"/>
          <w:szCs w:val="24"/>
        </w:rPr>
        <w:t xml:space="preserve"> przydzielono Wielkopolsce 18 078 000,00 zł. </w:t>
      </w:r>
    </w:p>
    <w:p w:rsidR="0077152B" w:rsidRDefault="0077152B" w:rsidP="00231F6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Program skierowany do osób bezrobotnych powyżej 45/50 roku życia realizowało </w:t>
      </w:r>
      <w:r w:rsidR="003E541D">
        <w:rPr>
          <w:rFonts w:ascii="Times New Roman" w:hAnsi="Times New Roman" w:cs="Times New Roman"/>
          <w:sz w:val="24"/>
          <w:szCs w:val="24"/>
        </w:rPr>
        <w:br/>
      </w:r>
      <w:r>
        <w:rPr>
          <w:rFonts w:ascii="Times New Roman" w:hAnsi="Times New Roman" w:cs="Times New Roman"/>
          <w:sz w:val="24"/>
          <w:szCs w:val="24"/>
        </w:rPr>
        <w:t>2</w:t>
      </w:r>
      <w:r w:rsidR="003E541D">
        <w:rPr>
          <w:rFonts w:ascii="Times New Roman" w:hAnsi="Times New Roman" w:cs="Times New Roman"/>
          <w:sz w:val="24"/>
          <w:szCs w:val="24"/>
        </w:rPr>
        <w:t>5</w:t>
      </w:r>
      <w:r>
        <w:rPr>
          <w:rFonts w:ascii="Times New Roman" w:hAnsi="Times New Roman" w:cs="Times New Roman"/>
          <w:sz w:val="24"/>
          <w:szCs w:val="24"/>
        </w:rPr>
        <w:t xml:space="preserve"> powiatów</w:t>
      </w:r>
      <w:r w:rsidR="00231F69">
        <w:rPr>
          <w:rFonts w:ascii="Times New Roman" w:hAnsi="Times New Roman" w:cs="Times New Roman"/>
          <w:sz w:val="24"/>
          <w:szCs w:val="24"/>
        </w:rPr>
        <w:t xml:space="preserve"> (chodzieski, czarnkowsko-trzcianecki, gostyński, jarociński, kaliski, kolski, koniński, kościański, krotoszyński</w:t>
      </w:r>
      <w:r>
        <w:rPr>
          <w:rFonts w:ascii="Times New Roman" w:hAnsi="Times New Roman" w:cs="Times New Roman"/>
          <w:sz w:val="24"/>
          <w:szCs w:val="24"/>
        </w:rPr>
        <w:t>,</w:t>
      </w:r>
      <w:r w:rsidR="00231F69">
        <w:rPr>
          <w:rFonts w:ascii="Times New Roman" w:hAnsi="Times New Roman" w:cs="Times New Roman"/>
          <w:sz w:val="24"/>
          <w:szCs w:val="24"/>
        </w:rPr>
        <w:t xml:space="preserve"> nowotomyski, obornicki, ostrowski, ostrzeszowski, pilski, pleszewski, poznański, rawicki, słupecki, szamotulski, średzki, śremski, turecki, wągrowiecki, wrzesiński, złotowski)</w:t>
      </w:r>
      <w:r w:rsidR="00811260">
        <w:rPr>
          <w:rFonts w:ascii="Times New Roman" w:hAnsi="Times New Roman" w:cs="Times New Roman"/>
          <w:sz w:val="24"/>
          <w:szCs w:val="24"/>
        </w:rPr>
        <w:t>,</w:t>
      </w:r>
      <w:r>
        <w:rPr>
          <w:rFonts w:ascii="Times New Roman" w:hAnsi="Times New Roman" w:cs="Times New Roman"/>
          <w:sz w:val="24"/>
          <w:szCs w:val="24"/>
        </w:rPr>
        <w:t xml:space="preserve"> a środki finansowe przeznaczone na ten cel wyniosły 12 016 500,00 zł.</w:t>
      </w:r>
    </w:p>
    <w:p w:rsidR="00C2588B" w:rsidRPr="0077152B" w:rsidRDefault="00C2588B" w:rsidP="0077152B">
      <w:pPr>
        <w:spacing w:line="360" w:lineRule="auto"/>
        <w:ind w:firstLine="708"/>
        <w:jc w:val="both"/>
        <w:rPr>
          <w:rFonts w:ascii="Times New Roman" w:hAnsi="Times New Roman" w:cs="Times New Roman"/>
          <w:sz w:val="24"/>
          <w:szCs w:val="24"/>
        </w:rPr>
      </w:pPr>
    </w:p>
    <w:p w:rsidR="00E9480A" w:rsidRDefault="00E9480A" w:rsidP="00DF09E9">
      <w:pPr>
        <w:pStyle w:val="Nagwek3"/>
        <w:numPr>
          <w:ilvl w:val="1"/>
          <w:numId w:val="9"/>
        </w:numPr>
        <w:spacing w:before="0" w:line="360" w:lineRule="auto"/>
      </w:pPr>
      <w:bookmarkStart w:id="12" w:name="_Toc333477261"/>
      <w:r>
        <w:t>Rok 2010</w:t>
      </w:r>
      <w:bookmarkEnd w:id="12"/>
    </w:p>
    <w:p w:rsidR="00E9480A" w:rsidRDefault="00E9480A" w:rsidP="00DF09E9">
      <w:pPr>
        <w:spacing w:after="0" w:line="360" w:lineRule="auto"/>
        <w:ind w:firstLine="708"/>
        <w:jc w:val="both"/>
        <w:rPr>
          <w:rFonts w:ascii="Times New Roman" w:hAnsi="Times New Roman" w:cs="Times New Roman"/>
          <w:sz w:val="24"/>
          <w:szCs w:val="24"/>
        </w:rPr>
      </w:pPr>
    </w:p>
    <w:p w:rsidR="00E9480A" w:rsidRDefault="00E9480A" w:rsidP="00DF09E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2010 roku </w:t>
      </w:r>
      <w:r w:rsidRPr="00E9480A">
        <w:rPr>
          <w:rFonts w:ascii="Times New Roman" w:hAnsi="Times New Roman" w:cs="Times New Roman"/>
          <w:sz w:val="24"/>
          <w:szCs w:val="24"/>
        </w:rPr>
        <w:t xml:space="preserve">Minister Pracy i Polityki Społecznej uruchomił dodatkowe środki </w:t>
      </w:r>
      <w:r w:rsidR="004A39DF">
        <w:rPr>
          <w:rFonts w:ascii="Times New Roman" w:hAnsi="Times New Roman" w:cs="Times New Roman"/>
          <w:sz w:val="24"/>
          <w:szCs w:val="24"/>
        </w:rPr>
        <w:br/>
      </w:r>
      <w:r w:rsidRPr="00E9480A">
        <w:rPr>
          <w:rFonts w:ascii="Times New Roman" w:hAnsi="Times New Roman" w:cs="Times New Roman"/>
          <w:sz w:val="24"/>
          <w:szCs w:val="24"/>
        </w:rPr>
        <w:t xml:space="preserve">z rezerwy Funduszu Pracy na realizację </w:t>
      </w:r>
      <w:r>
        <w:rPr>
          <w:rFonts w:ascii="Times New Roman" w:hAnsi="Times New Roman" w:cs="Times New Roman"/>
          <w:sz w:val="24"/>
          <w:szCs w:val="24"/>
        </w:rPr>
        <w:t>p</w:t>
      </w:r>
      <w:r w:rsidRPr="00E9480A">
        <w:rPr>
          <w:rFonts w:ascii="Times New Roman" w:hAnsi="Times New Roman" w:cs="Times New Roman"/>
          <w:sz w:val="24"/>
          <w:szCs w:val="24"/>
        </w:rPr>
        <w:t>rogramu aktywizacji z</w:t>
      </w:r>
      <w:r>
        <w:rPr>
          <w:rFonts w:ascii="Times New Roman" w:hAnsi="Times New Roman" w:cs="Times New Roman"/>
          <w:sz w:val="24"/>
          <w:szCs w:val="24"/>
        </w:rPr>
        <w:t>awodowej osób do 30 roku życia oraz programu</w:t>
      </w:r>
      <w:r w:rsidRPr="00E9480A">
        <w:rPr>
          <w:rFonts w:ascii="Times New Roman" w:hAnsi="Times New Roman" w:cs="Times New Roman"/>
          <w:sz w:val="24"/>
          <w:szCs w:val="24"/>
        </w:rPr>
        <w:t xml:space="preserve"> aktywizacji zawodowej osób w wieku 45/50+, bezrobotnych zwolnionych z pracy z przyczyn niedotyczących pracowników oraz z terenów, na których miały miejsce klęski żywiołowe</w:t>
      </w:r>
      <w:r w:rsidR="004A39DF">
        <w:rPr>
          <w:rFonts w:ascii="Times New Roman" w:hAnsi="Times New Roman" w:cs="Times New Roman"/>
          <w:sz w:val="24"/>
          <w:szCs w:val="24"/>
        </w:rPr>
        <w:t xml:space="preserve">, a także bezrobotnych wymienionych w art. 49 ustawy </w:t>
      </w:r>
      <w:r w:rsidR="004A39DF">
        <w:rPr>
          <w:rFonts w:ascii="Times New Roman" w:hAnsi="Times New Roman" w:cs="Times New Roman"/>
          <w:sz w:val="24"/>
          <w:szCs w:val="24"/>
        </w:rPr>
        <w:br/>
        <w:t>o promocji zatrudnienia i instytucjach rynku pracy</w:t>
      </w:r>
      <w:r>
        <w:rPr>
          <w:rFonts w:ascii="Times New Roman" w:hAnsi="Times New Roman" w:cs="Times New Roman"/>
          <w:sz w:val="24"/>
          <w:szCs w:val="24"/>
        </w:rPr>
        <w:t xml:space="preserve">. </w:t>
      </w:r>
    </w:p>
    <w:p w:rsidR="00E9480A" w:rsidRPr="00E9480A" w:rsidRDefault="00E9480A" w:rsidP="00DF09E9">
      <w:pPr>
        <w:spacing w:after="0" w:line="360" w:lineRule="auto"/>
        <w:ind w:firstLine="708"/>
        <w:jc w:val="both"/>
        <w:rPr>
          <w:rFonts w:ascii="Times New Roman" w:hAnsi="Times New Roman" w:cs="Times New Roman"/>
          <w:sz w:val="24"/>
          <w:szCs w:val="24"/>
        </w:rPr>
      </w:pPr>
      <w:r w:rsidRPr="00E9480A">
        <w:rPr>
          <w:rFonts w:ascii="Times New Roman" w:hAnsi="Times New Roman" w:cs="Times New Roman"/>
          <w:sz w:val="24"/>
          <w:szCs w:val="24"/>
        </w:rPr>
        <w:lastRenderedPageBreak/>
        <w:t>„Program aktywizacji za</w:t>
      </w:r>
      <w:r>
        <w:rPr>
          <w:rFonts w:ascii="Times New Roman" w:hAnsi="Times New Roman" w:cs="Times New Roman"/>
          <w:sz w:val="24"/>
          <w:szCs w:val="24"/>
        </w:rPr>
        <w:t>wodowej osób do 30 roku życia”</w:t>
      </w:r>
      <w:r w:rsidRPr="00E9480A">
        <w:rPr>
          <w:rFonts w:ascii="Times New Roman" w:hAnsi="Times New Roman" w:cs="Times New Roman"/>
          <w:sz w:val="24"/>
          <w:szCs w:val="24"/>
        </w:rPr>
        <w:t xml:space="preserve"> realizowany był do dnia </w:t>
      </w:r>
      <w:r w:rsidR="00863BCD">
        <w:rPr>
          <w:rFonts w:ascii="Times New Roman" w:hAnsi="Times New Roman" w:cs="Times New Roman"/>
          <w:sz w:val="24"/>
          <w:szCs w:val="24"/>
        </w:rPr>
        <w:br/>
      </w:r>
      <w:r w:rsidRPr="00E9480A">
        <w:rPr>
          <w:rFonts w:ascii="Times New Roman" w:hAnsi="Times New Roman" w:cs="Times New Roman"/>
          <w:sz w:val="24"/>
          <w:szCs w:val="24"/>
        </w:rPr>
        <w:t>31 grudnia 2010 roku, w uzasadnionych przypadkach dopuszczono możliwość kontynuowania działań do dnia 30 czerwca 2011 roku.</w:t>
      </w:r>
      <w:r w:rsidR="001C763E">
        <w:rPr>
          <w:rFonts w:ascii="Times New Roman" w:hAnsi="Times New Roman" w:cs="Times New Roman"/>
          <w:sz w:val="24"/>
          <w:szCs w:val="24"/>
        </w:rPr>
        <w:t xml:space="preserve"> Ministerstwo Pracy i Polityki Społecznej przygotowało raport </w:t>
      </w:r>
      <w:r w:rsidR="00616891">
        <w:rPr>
          <w:rFonts w:ascii="Times New Roman" w:hAnsi="Times New Roman" w:cs="Times New Roman"/>
          <w:sz w:val="24"/>
          <w:szCs w:val="24"/>
        </w:rPr>
        <w:t>podsumowujący realizację tego programu, z którego wynika, że p</w:t>
      </w:r>
      <w:r w:rsidRPr="00E9480A">
        <w:rPr>
          <w:rFonts w:ascii="Times New Roman" w:hAnsi="Times New Roman" w:cs="Times New Roman"/>
          <w:sz w:val="24"/>
          <w:szCs w:val="24"/>
        </w:rPr>
        <w:t xml:space="preserve">rojekty </w:t>
      </w:r>
      <w:r w:rsidR="00616891">
        <w:rPr>
          <w:rFonts w:ascii="Times New Roman" w:hAnsi="Times New Roman" w:cs="Times New Roman"/>
          <w:sz w:val="24"/>
          <w:szCs w:val="24"/>
        </w:rPr>
        <w:t>złożyło</w:t>
      </w:r>
      <w:r w:rsidRPr="00E9480A">
        <w:rPr>
          <w:rFonts w:ascii="Times New Roman" w:hAnsi="Times New Roman" w:cs="Times New Roman"/>
          <w:sz w:val="24"/>
          <w:szCs w:val="24"/>
        </w:rPr>
        <w:t xml:space="preserve"> 270 urzędów pracy z całego kraju</w:t>
      </w:r>
      <w:r w:rsidR="00616891">
        <w:rPr>
          <w:rFonts w:ascii="Times New Roman" w:hAnsi="Times New Roman" w:cs="Times New Roman"/>
          <w:sz w:val="24"/>
          <w:szCs w:val="24"/>
        </w:rPr>
        <w:t>,</w:t>
      </w:r>
      <w:r w:rsidRPr="00E9480A">
        <w:rPr>
          <w:rFonts w:ascii="Times New Roman" w:hAnsi="Times New Roman" w:cs="Times New Roman"/>
          <w:sz w:val="24"/>
          <w:szCs w:val="24"/>
        </w:rPr>
        <w:t xml:space="preserve"> na łączną kwotę 495,4 mln zł, w tym </w:t>
      </w:r>
      <w:r w:rsidR="00863BCD">
        <w:rPr>
          <w:rFonts w:ascii="Times New Roman" w:hAnsi="Times New Roman" w:cs="Times New Roman"/>
          <w:sz w:val="24"/>
          <w:szCs w:val="24"/>
        </w:rPr>
        <w:br/>
      </w:r>
      <w:r w:rsidR="00F16D99">
        <w:rPr>
          <w:rFonts w:ascii="Times New Roman" w:hAnsi="Times New Roman" w:cs="Times New Roman"/>
          <w:sz w:val="24"/>
          <w:szCs w:val="24"/>
        </w:rPr>
        <w:t xml:space="preserve">z </w:t>
      </w:r>
      <w:r w:rsidR="00DB1039">
        <w:rPr>
          <w:rFonts w:ascii="Times New Roman" w:hAnsi="Times New Roman" w:cs="Times New Roman"/>
          <w:sz w:val="24"/>
          <w:szCs w:val="24"/>
        </w:rPr>
        <w:t>w</w:t>
      </w:r>
      <w:r w:rsidRPr="00E9480A">
        <w:rPr>
          <w:rFonts w:ascii="Times New Roman" w:hAnsi="Times New Roman" w:cs="Times New Roman"/>
          <w:sz w:val="24"/>
          <w:szCs w:val="24"/>
        </w:rPr>
        <w:t xml:space="preserve">ojewództwa </w:t>
      </w:r>
      <w:r w:rsidR="00DB1039">
        <w:rPr>
          <w:rFonts w:ascii="Times New Roman" w:hAnsi="Times New Roman" w:cs="Times New Roman"/>
          <w:sz w:val="24"/>
          <w:szCs w:val="24"/>
        </w:rPr>
        <w:t>w</w:t>
      </w:r>
      <w:r w:rsidRPr="00E9480A">
        <w:rPr>
          <w:rFonts w:ascii="Times New Roman" w:hAnsi="Times New Roman" w:cs="Times New Roman"/>
          <w:sz w:val="24"/>
          <w:szCs w:val="24"/>
        </w:rPr>
        <w:t xml:space="preserve">ielkopolskiego przystąpiło do konkursu 31 urzędów wnioskując o 54,4 mln zł. Wysokość środków rezerwy Funduszu Pracy przeznaczonych na realizację </w:t>
      </w:r>
      <w:r w:rsidR="009921E2">
        <w:rPr>
          <w:rFonts w:ascii="Times New Roman" w:hAnsi="Times New Roman" w:cs="Times New Roman"/>
          <w:sz w:val="24"/>
          <w:szCs w:val="24"/>
        </w:rPr>
        <w:t>p</w:t>
      </w:r>
      <w:r w:rsidRPr="00E9480A">
        <w:rPr>
          <w:rFonts w:ascii="Times New Roman" w:hAnsi="Times New Roman" w:cs="Times New Roman"/>
          <w:sz w:val="24"/>
          <w:szCs w:val="24"/>
        </w:rPr>
        <w:t xml:space="preserve">rogramu wyniosła odpowiednio 323,4 mln zł i 35,8 mln zł. W regionie dofinansowanie otrzymały </w:t>
      </w:r>
      <w:r w:rsidR="00863BCD">
        <w:rPr>
          <w:rFonts w:ascii="Times New Roman" w:hAnsi="Times New Roman" w:cs="Times New Roman"/>
          <w:sz w:val="24"/>
          <w:szCs w:val="24"/>
        </w:rPr>
        <w:br/>
      </w:r>
      <w:r w:rsidRPr="00E9480A">
        <w:rPr>
          <w:rFonts w:ascii="Times New Roman" w:hAnsi="Times New Roman" w:cs="Times New Roman"/>
          <w:sz w:val="24"/>
          <w:szCs w:val="24"/>
        </w:rPr>
        <w:t>23 samorządy powiatowe, co stanowi 74,2% wnioskujących PUP w Wielkopolsce.</w:t>
      </w:r>
      <w:r w:rsidR="00863BCD">
        <w:rPr>
          <w:rFonts w:ascii="Times New Roman" w:hAnsi="Times New Roman" w:cs="Times New Roman"/>
          <w:sz w:val="24"/>
          <w:szCs w:val="24"/>
        </w:rPr>
        <w:t xml:space="preserve"> Były to powiaty: chodzieski, czarnkowsko-trzcianecki, grodziski, jarociński, kaliski, kępiński, kolski, koniński, kościański, krotoszyński, leszczyński, nowotomyski, obornicki, ostrzeszowski, pilski, pleszewski, poznański, rawicki, słupecki, śremski, wolsztyński, wrzesiński, złotowski.</w:t>
      </w:r>
    </w:p>
    <w:p w:rsidR="00E9480A" w:rsidRPr="00E9480A" w:rsidRDefault="00E9480A" w:rsidP="00DF09E9">
      <w:pPr>
        <w:spacing w:after="0" w:line="360" w:lineRule="auto"/>
        <w:ind w:firstLine="708"/>
        <w:jc w:val="both"/>
        <w:rPr>
          <w:rFonts w:ascii="Times New Roman" w:hAnsi="Times New Roman" w:cs="Times New Roman"/>
          <w:sz w:val="24"/>
          <w:szCs w:val="24"/>
        </w:rPr>
      </w:pPr>
      <w:r w:rsidRPr="00E9480A">
        <w:rPr>
          <w:rFonts w:ascii="Times New Roman" w:hAnsi="Times New Roman" w:cs="Times New Roman"/>
          <w:sz w:val="24"/>
          <w:szCs w:val="24"/>
        </w:rPr>
        <w:t>Kwota wykorzystana przez nasz region (35,06 mln zł) stanowiła 11,0% łącznej kwoty wydatkowanej dla całej Polski (318,5 mln zł).</w:t>
      </w:r>
    </w:p>
    <w:p w:rsidR="00E9480A" w:rsidRPr="00E9480A" w:rsidRDefault="009921E2" w:rsidP="00DF09E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 p</w:t>
      </w:r>
      <w:r w:rsidR="00E9480A" w:rsidRPr="00E9480A">
        <w:rPr>
          <w:rFonts w:ascii="Times New Roman" w:hAnsi="Times New Roman" w:cs="Times New Roman"/>
          <w:sz w:val="24"/>
          <w:szCs w:val="24"/>
        </w:rPr>
        <w:t xml:space="preserve">rogramie w województwie wielkopolskim udział wzięły 5 574 osoby, tj. 11,0% uczestników z całego kraju, a średni koszt aktywizacji jednego uczestnika wyniósł 6 351,5 zł (dla Polski 6 403,0 zł). Spośród uczestników </w:t>
      </w:r>
      <w:r>
        <w:rPr>
          <w:rFonts w:ascii="Times New Roman" w:hAnsi="Times New Roman" w:cs="Times New Roman"/>
          <w:sz w:val="24"/>
          <w:szCs w:val="24"/>
        </w:rPr>
        <w:t>p</w:t>
      </w:r>
      <w:r w:rsidR="00E9480A" w:rsidRPr="00E9480A">
        <w:rPr>
          <w:rFonts w:ascii="Times New Roman" w:hAnsi="Times New Roman" w:cs="Times New Roman"/>
          <w:sz w:val="24"/>
          <w:szCs w:val="24"/>
        </w:rPr>
        <w:t xml:space="preserve">rogramu 72,3% stanowiły osoby poniżej </w:t>
      </w:r>
      <w:r w:rsidR="00863BCD">
        <w:rPr>
          <w:rFonts w:ascii="Times New Roman" w:hAnsi="Times New Roman" w:cs="Times New Roman"/>
          <w:sz w:val="24"/>
          <w:szCs w:val="24"/>
        </w:rPr>
        <w:br/>
      </w:r>
      <w:r w:rsidR="00E9480A" w:rsidRPr="00E9480A">
        <w:rPr>
          <w:rFonts w:ascii="Times New Roman" w:hAnsi="Times New Roman" w:cs="Times New Roman"/>
          <w:sz w:val="24"/>
          <w:szCs w:val="24"/>
        </w:rPr>
        <w:t>25</w:t>
      </w:r>
      <w:r w:rsidR="000B669A">
        <w:rPr>
          <w:rFonts w:ascii="Times New Roman" w:hAnsi="Times New Roman" w:cs="Times New Roman"/>
          <w:sz w:val="24"/>
          <w:szCs w:val="24"/>
        </w:rPr>
        <w:t>.</w:t>
      </w:r>
      <w:r w:rsidR="00E9480A" w:rsidRPr="00E9480A">
        <w:rPr>
          <w:rFonts w:ascii="Times New Roman" w:hAnsi="Times New Roman" w:cs="Times New Roman"/>
          <w:sz w:val="24"/>
          <w:szCs w:val="24"/>
        </w:rPr>
        <w:t xml:space="preserve"> roku życia (4 031 osób), 59,3% stanowiły kobiety (3 304 osoby), a 17,9% długotrwale bezrobotni (996 osób).</w:t>
      </w:r>
    </w:p>
    <w:p w:rsidR="00E9480A" w:rsidRPr="00E9480A" w:rsidRDefault="00E9480A" w:rsidP="00DF09E9">
      <w:pPr>
        <w:spacing w:after="0" w:line="360" w:lineRule="auto"/>
        <w:ind w:firstLine="708"/>
        <w:jc w:val="both"/>
        <w:rPr>
          <w:rFonts w:ascii="Times New Roman" w:hAnsi="Times New Roman" w:cs="Times New Roman"/>
          <w:sz w:val="24"/>
          <w:szCs w:val="24"/>
        </w:rPr>
      </w:pPr>
      <w:r w:rsidRPr="00E9480A">
        <w:rPr>
          <w:rFonts w:ascii="Times New Roman" w:hAnsi="Times New Roman" w:cs="Times New Roman"/>
          <w:sz w:val="24"/>
          <w:szCs w:val="24"/>
        </w:rPr>
        <w:t>Beneficjentów programu objęto indywidualnymi planami działań, w celu rozpoznania ich ograniczeń i predyspozycji zawodowych. Najwięcej osób zaktywizowano w ramach staży (2 675 osób) i szkoleń (2 008 osób), co odzwierciedla sytuację w Polsce (staże 30 248 osób, szkolenia 15 034 osoby). Dużą popularnością cieszyły się też jednorazowe środki na podjęcie działalności gospodarczej, w Wielkopolsce 752 osoby zrealizowały pomysł na włas</w:t>
      </w:r>
      <w:r w:rsidR="006070F7">
        <w:rPr>
          <w:rFonts w:ascii="Times New Roman" w:hAnsi="Times New Roman" w:cs="Times New Roman"/>
          <w:sz w:val="24"/>
          <w:szCs w:val="24"/>
        </w:rPr>
        <w:t>ny biznes, w Polsce 6 371 osób</w:t>
      </w:r>
      <w:r w:rsidRPr="00E9480A">
        <w:rPr>
          <w:rFonts w:ascii="Times New Roman" w:hAnsi="Times New Roman" w:cs="Times New Roman"/>
          <w:sz w:val="24"/>
          <w:szCs w:val="24"/>
        </w:rPr>
        <w:t>.</w:t>
      </w:r>
    </w:p>
    <w:p w:rsidR="00E9480A" w:rsidRPr="00E9480A" w:rsidRDefault="006070F7" w:rsidP="006070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Spośród 5 </w:t>
      </w:r>
      <w:r w:rsidR="00E9480A" w:rsidRPr="00E9480A">
        <w:rPr>
          <w:rFonts w:ascii="Times New Roman" w:hAnsi="Times New Roman" w:cs="Times New Roman"/>
          <w:sz w:val="24"/>
          <w:szCs w:val="24"/>
        </w:rPr>
        <w:t xml:space="preserve">574 bezrobotnych uczestniczących w projekcie „30 minus” </w:t>
      </w:r>
      <w:r>
        <w:rPr>
          <w:rFonts w:ascii="Times New Roman" w:hAnsi="Times New Roman" w:cs="Times New Roman"/>
          <w:sz w:val="24"/>
          <w:szCs w:val="24"/>
        </w:rPr>
        <w:br/>
      </w:r>
      <w:r w:rsidR="00F16D99">
        <w:rPr>
          <w:rFonts w:ascii="Times New Roman" w:hAnsi="Times New Roman" w:cs="Times New Roman"/>
          <w:sz w:val="24"/>
          <w:szCs w:val="24"/>
        </w:rPr>
        <w:t xml:space="preserve">w </w:t>
      </w:r>
      <w:r w:rsidR="00DB1039">
        <w:rPr>
          <w:rFonts w:ascii="Times New Roman" w:hAnsi="Times New Roman" w:cs="Times New Roman"/>
          <w:sz w:val="24"/>
          <w:szCs w:val="24"/>
        </w:rPr>
        <w:t>w</w:t>
      </w:r>
      <w:r w:rsidR="00F16D99">
        <w:rPr>
          <w:rFonts w:ascii="Times New Roman" w:hAnsi="Times New Roman" w:cs="Times New Roman"/>
          <w:sz w:val="24"/>
          <w:szCs w:val="24"/>
        </w:rPr>
        <w:t xml:space="preserve">ojewództwie </w:t>
      </w:r>
      <w:r w:rsidR="00DB1039">
        <w:rPr>
          <w:rFonts w:ascii="Times New Roman" w:hAnsi="Times New Roman" w:cs="Times New Roman"/>
          <w:sz w:val="24"/>
          <w:szCs w:val="24"/>
        </w:rPr>
        <w:t>w</w:t>
      </w:r>
      <w:r w:rsidR="00E9480A" w:rsidRPr="00E9480A">
        <w:rPr>
          <w:rFonts w:ascii="Times New Roman" w:hAnsi="Times New Roman" w:cs="Times New Roman"/>
          <w:sz w:val="24"/>
          <w:szCs w:val="24"/>
        </w:rPr>
        <w:t xml:space="preserve">ielkopolskim, 4 934 osoby zakończyły w nim udział, a zatrudnienie uzyskało 2 908. Efektywność zatrudnieniowa </w:t>
      </w:r>
      <w:r w:rsidR="009921E2">
        <w:rPr>
          <w:rFonts w:ascii="Times New Roman" w:hAnsi="Times New Roman" w:cs="Times New Roman"/>
          <w:sz w:val="24"/>
          <w:szCs w:val="24"/>
        </w:rPr>
        <w:t>p</w:t>
      </w:r>
      <w:r w:rsidR="00E9480A" w:rsidRPr="00E9480A">
        <w:rPr>
          <w:rFonts w:ascii="Times New Roman" w:hAnsi="Times New Roman" w:cs="Times New Roman"/>
          <w:sz w:val="24"/>
          <w:szCs w:val="24"/>
        </w:rPr>
        <w:t>rogramu wyniosła 58,9% i była wyższa od efektywności dla Polski o 5,1 punktu procentowego, co uplasowało nasz region na czwartej pozycji w kraju.</w:t>
      </w:r>
    </w:p>
    <w:p w:rsidR="00E9480A" w:rsidRPr="00E9480A" w:rsidRDefault="00E9480A" w:rsidP="00DF09E9">
      <w:pPr>
        <w:spacing w:after="0" w:line="360" w:lineRule="auto"/>
        <w:ind w:firstLine="708"/>
        <w:jc w:val="both"/>
        <w:rPr>
          <w:rFonts w:ascii="Times New Roman" w:hAnsi="Times New Roman" w:cs="Times New Roman"/>
          <w:sz w:val="24"/>
          <w:szCs w:val="24"/>
        </w:rPr>
      </w:pPr>
      <w:r w:rsidRPr="00E9480A">
        <w:rPr>
          <w:rFonts w:ascii="Times New Roman" w:hAnsi="Times New Roman" w:cs="Times New Roman"/>
          <w:sz w:val="24"/>
          <w:szCs w:val="24"/>
        </w:rPr>
        <w:t>W projekcie wzięło udział 4 031 osób młodych w wieku do 25 roku życia, zakończyło go 3 396 osób, a zatrudnienie uzyskało 1 918 osób, co daje efektywność na poziomie 56,5%, o 7,3 punktu procentowego wyższą niż dla kraju i pozwoliło Wielkopolsce zająć pierwsze m</w:t>
      </w:r>
      <w:r>
        <w:rPr>
          <w:rFonts w:ascii="Times New Roman" w:hAnsi="Times New Roman" w:cs="Times New Roman"/>
          <w:sz w:val="24"/>
          <w:szCs w:val="24"/>
        </w:rPr>
        <w:t>iejsce w tej kategorii wiekowej</w:t>
      </w:r>
      <w:r w:rsidRPr="00E9480A">
        <w:rPr>
          <w:rFonts w:ascii="Times New Roman" w:hAnsi="Times New Roman" w:cs="Times New Roman"/>
          <w:sz w:val="24"/>
          <w:szCs w:val="24"/>
        </w:rPr>
        <w:t>.</w:t>
      </w:r>
    </w:p>
    <w:p w:rsidR="00011123" w:rsidRDefault="00C15ACC" w:rsidP="00C15ACC">
      <w:pPr>
        <w:spacing w:after="0" w:line="360" w:lineRule="auto"/>
        <w:ind w:firstLine="708"/>
        <w:jc w:val="both"/>
        <w:rPr>
          <w:rFonts w:ascii="Times New Roman" w:eastAsia="Times New Roman" w:hAnsi="Times New Roman" w:cs="Times New Roman"/>
          <w:sz w:val="24"/>
          <w:szCs w:val="24"/>
          <w:lang w:eastAsia="pl-PL"/>
        </w:rPr>
      </w:pPr>
      <w:r w:rsidRPr="00C15ACC">
        <w:rPr>
          <w:rFonts w:ascii="Times New Roman" w:eastAsia="Times New Roman" w:hAnsi="Times New Roman" w:cs="Times New Roman"/>
          <w:sz w:val="24"/>
          <w:szCs w:val="24"/>
          <w:lang w:eastAsia="pl-PL"/>
        </w:rPr>
        <w:lastRenderedPageBreak/>
        <w:t>W ramach programu zwiększającego aktywność zawodową osób bezrobotnych powyżej 45 roku życia</w:t>
      </w:r>
      <w:r w:rsidR="00A40856">
        <w:rPr>
          <w:rFonts w:ascii="Times New Roman" w:eastAsia="Times New Roman" w:hAnsi="Times New Roman" w:cs="Times New Roman"/>
          <w:sz w:val="24"/>
          <w:szCs w:val="24"/>
          <w:lang w:eastAsia="pl-PL"/>
        </w:rPr>
        <w:t>,</w:t>
      </w:r>
      <w:r w:rsidRPr="00C15ACC">
        <w:rPr>
          <w:rFonts w:ascii="Times New Roman" w:eastAsia="Times New Roman" w:hAnsi="Times New Roman" w:cs="Times New Roman"/>
          <w:sz w:val="24"/>
          <w:szCs w:val="24"/>
          <w:lang w:eastAsia="pl-PL"/>
        </w:rPr>
        <w:t xml:space="preserve"> do </w:t>
      </w:r>
      <w:proofErr w:type="spellStart"/>
      <w:r w:rsidRPr="00C15ACC">
        <w:rPr>
          <w:rFonts w:ascii="Times New Roman" w:eastAsia="Times New Roman" w:hAnsi="Times New Roman" w:cs="Times New Roman"/>
          <w:sz w:val="24"/>
          <w:szCs w:val="24"/>
          <w:lang w:eastAsia="pl-PL"/>
        </w:rPr>
        <w:t>MPiPS</w:t>
      </w:r>
      <w:proofErr w:type="spellEnd"/>
      <w:r w:rsidRPr="00C15ACC">
        <w:rPr>
          <w:rFonts w:ascii="Times New Roman" w:eastAsia="Times New Roman" w:hAnsi="Times New Roman" w:cs="Times New Roman"/>
          <w:sz w:val="24"/>
          <w:szCs w:val="24"/>
          <w:lang w:eastAsia="pl-PL"/>
        </w:rPr>
        <w:t xml:space="preserve"> wpłynę</w:t>
      </w:r>
      <w:r w:rsidR="00011123">
        <w:rPr>
          <w:rFonts w:ascii="Times New Roman" w:eastAsia="Times New Roman" w:hAnsi="Times New Roman" w:cs="Times New Roman"/>
          <w:sz w:val="24"/>
          <w:szCs w:val="24"/>
          <w:lang w:eastAsia="pl-PL"/>
        </w:rPr>
        <w:t>ły</w:t>
      </w:r>
      <w:r w:rsidRPr="00C15ACC">
        <w:rPr>
          <w:rFonts w:ascii="Times New Roman" w:eastAsia="Times New Roman" w:hAnsi="Times New Roman" w:cs="Times New Roman"/>
          <w:sz w:val="24"/>
          <w:szCs w:val="24"/>
          <w:lang w:eastAsia="pl-PL"/>
        </w:rPr>
        <w:t xml:space="preserve"> wnioski </w:t>
      </w:r>
      <w:r w:rsidR="00011123">
        <w:rPr>
          <w:rFonts w:ascii="Times New Roman" w:eastAsia="Times New Roman" w:hAnsi="Times New Roman" w:cs="Times New Roman"/>
          <w:sz w:val="24"/>
          <w:szCs w:val="24"/>
          <w:lang w:eastAsia="pl-PL"/>
        </w:rPr>
        <w:t>z 24 samorządów</w:t>
      </w:r>
      <w:r w:rsidR="00863BCD">
        <w:rPr>
          <w:rFonts w:ascii="Times New Roman" w:eastAsia="Times New Roman" w:hAnsi="Times New Roman" w:cs="Times New Roman"/>
          <w:sz w:val="24"/>
          <w:szCs w:val="24"/>
          <w:lang w:eastAsia="pl-PL"/>
        </w:rPr>
        <w:t xml:space="preserve"> </w:t>
      </w:r>
      <w:r w:rsidR="00011123">
        <w:rPr>
          <w:rFonts w:ascii="Times New Roman" w:eastAsia="Times New Roman" w:hAnsi="Times New Roman" w:cs="Times New Roman"/>
          <w:sz w:val="24"/>
          <w:szCs w:val="24"/>
          <w:lang w:eastAsia="pl-PL"/>
        </w:rPr>
        <w:t>powiatowych Wielkopolski, tj.</w:t>
      </w:r>
      <w:r w:rsidR="00863BCD">
        <w:rPr>
          <w:rFonts w:ascii="Times New Roman" w:eastAsia="Times New Roman" w:hAnsi="Times New Roman" w:cs="Times New Roman"/>
          <w:sz w:val="24"/>
          <w:szCs w:val="24"/>
          <w:lang w:eastAsia="pl-PL"/>
        </w:rPr>
        <w:t>: chodzieski</w:t>
      </w:r>
      <w:r w:rsidR="00011123">
        <w:rPr>
          <w:rFonts w:ascii="Times New Roman" w:eastAsia="Times New Roman" w:hAnsi="Times New Roman" w:cs="Times New Roman"/>
          <w:sz w:val="24"/>
          <w:szCs w:val="24"/>
          <w:lang w:eastAsia="pl-PL"/>
        </w:rPr>
        <w:t>ego</w:t>
      </w:r>
      <w:r w:rsidR="00863BCD">
        <w:rPr>
          <w:rFonts w:ascii="Times New Roman" w:eastAsia="Times New Roman" w:hAnsi="Times New Roman" w:cs="Times New Roman"/>
          <w:sz w:val="24"/>
          <w:szCs w:val="24"/>
          <w:lang w:eastAsia="pl-PL"/>
        </w:rPr>
        <w:t>, czarnkowsko-trzcianecki</w:t>
      </w:r>
      <w:r w:rsidR="00011123">
        <w:rPr>
          <w:rFonts w:ascii="Times New Roman" w:eastAsia="Times New Roman" w:hAnsi="Times New Roman" w:cs="Times New Roman"/>
          <w:sz w:val="24"/>
          <w:szCs w:val="24"/>
          <w:lang w:eastAsia="pl-PL"/>
        </w:rPr>
        <w:t>ego</w:t>
      </w:r>
      <w:r w:rsidR="00863BCD">
        <w:rPr>
          <w:rFonts w:ascii="Times New Roman" w:eastAsia="Times New Roman" w:hAnsi="Times New Roman" w:cs="Times New Roman"/>
          <w:sz w:val="24"/>
          <w:szCs w:val="24"/>
          <w:lang w:eastAsia="pl-PL"/>
        </w:rPr>
        <w:t>, gnieźnieński</w:t>
      </w:r>
      <w:r w:rsidR="00011123">
        <w:rPr>
          <w:rFonts w:ascii="Times New Roman" w:eastAsia="Times New Roman" w:hAnsi="Times New Roman" w:cs="Times New Roman"/>
          <w:sz w:val="24"/>
          <w:szCs w:val="24"/>
          <w:lang w:eastAsia="pl-PL"/>
        </w:rPr>
        <w:t>ego</w:t>
      </w:r>
      <w:r w:rsidR="00863BCD">
        <w:rPr>
          <w:rFonts w:ascii="Times New Roman" w:eastAsia="Times New Roman" w:hAnsi="Times New Roman" w:cs="Times New Roman"/>
          <w:sz w:val="24"/>
          <w:szCs w:val="24"/>
          <w:lang w:eastAsia="pl-PL"/>
        </w:rPr>
        <w:t>, grodziski</w:t>
      </w:r>
      <w:r w:rsidR="00011123">
        <w:rPr>
          <w:rFonts w:ascii="Times New Roman" w:eastAsia="Times New Roman" w:hAnsi="Times New Roman" w:cs="Times New Roman"/>
          <w:sz w:val="24"/>
          <w:szCs w:val="24"/>
          <w:lang w:eastAsia="pl-PL"/>
        </w:rPr>
        <w:t>ego</w:t>
      </w:r>
      <w:r w:rsidR="00863BCD">
        <w:rPr>
          <w:rFonts w:ascii="Times New Roman" w:eastAsia="Times New Roman" w:hAnsi="Times New Roman" w:cs="Times New Roman"/>
          <w:sz w:val="24"/>
          <w:szCs w:val="24"/>
          <w:lang w:eastAsia="pl-PL"/>
        </w:rPr>
        <w:t>, gostyński</w:t>
      </w:r>
      <w:r w:rsidR="00011123">
        <w:rPr>
          <w:rFonts w:ascii="Times New Roman" w:eastAsia="Times New Roman" w:hAnsi="Times New Roman" w:cs="Times New Roman"/>
          <w:sz w:val="24"/>
          <w:szCs w:val="24"/>
          <w:lang w:eastAsia="pl-PL"/>
        </w:rPr>
        <w:t>ego</w:t>
      </w:r>
      <w:r w:rsidR="00863BCD">
        <w:rPr>
          <w:rFonts w:ascii="Times New Roman" w:eastAsia="Times New Roman" w:hAnsi="Times New Roman" w:cs="Times New Roman"/>
          <w:sz w:val="24"/>
          <w:szCs w:val="24"/>
          <w:lang w:eastAsia="pl-PL"/>
        </w:rPr>
        <w:t>, jarociński</w:t>
      </w:r>
      <w:r w:rsidR="00011123">
        <w:rPr>
          <w:rFonts w:ascii="Times New Roman" w:eastAsia="Times New Roman" w:hAnsi="Times New Roman" w:cs="Times New Roman"/>
          <w:sz w:val="24"/>
          <w:szCs w:val="24"/>
          <w:lang w:eastAsia="pl-PL"/>
        </w:rPr>
        <w:t>ego</w:t>
      </w:r>
      <w:r w:rsidR="00863BCD">
        <w:rPr>
          <w:rFonts w:ascii="Times New Roman" w:eastAsia="Times New Roman" w:hAnsi="Times New Roman" w:cs="Times New Roman"/>
          <w:sz w:val="24"/>
          <w:szCs w:val="24"/>
          <w:lang w:eastAsia="pl-PL"/>
        </w:rPr>
        <w:t>, kaliski</w:t>
      </w:r>
      <w:r w:rsidR="00011123">
        <w:rPr>
          <w:rFonts w:ascii="Times New Roman" w:eastAsia="Times New Roman" w:hAnsi="Times New Roman" w:cs="Times New Roman"/>
          <w:sz w:val="24"/>
          <w:szCs w:val="24"/>
          <w:lang w:eastAsia="pl-PL"/>
        </w:rPr>
        <w:t>ego</w:t>
      </w:r>
      <w:r w:rsidR="00863BCD">
        <w:rPr>
          <w:rFonts w:ascii="Times New Roman" w:eastAsia="Times New Roman" w:hAnsi="Times New Roman" w:cs="Times New Roman"/>
          <w:sz w:val="24"/>
          <w:szCs w:val="24"/>
          <w:lang w:eastAsia="pl-PL"/>
        </w:rPr>
        <w:t>, kępiński</w:t>
      </w:r>
      <w:r w:rsidR="00011123">
        <w:rPr>
          <w:rFonts w:ascii="Times New Roman" w:eastAsia="Times New Roman" w:hAnsi="Times New Roman" w:cs="Times New Roman"/>
          <w:sz w:val="24"/>
          <w:szCs w:val="24"/>
          <w:lang w:eastAsia="pl-PL"/>
        </w:rPr>
        <w:t>ego</w:t>
      </w:r>
      <w:r w:rsidR="00863BCD">
        <w:rPr>
          <w:rFonts w:ascii="Times New Roman" w:eastAsia="Times New Roman" w:hAnsi="Times New Roman" w:cs="Times New Roman"/>
          <w:sz w:val="24"/>
          <w:szCs w:val="24"/>
          <w:lang w:eastAsia="pl-PL"/>
        </w:rPr>
        <w:t>, kolski</w:t>
      </w:r>
      <w:r w:rsidR="00011123">
        <w:rPr>
          <w:rFonts w:ascii="Times New Roman" w:eastAsia="Times New Roman" w:hAnsi="Times New Roman" w:cs="Times New Roman"/>
          <w:sz w:val="24"/>
          <w:szCs w:val="24"/>
          <w:lang w:eastAsia="pl-PL"/>
        </w:rPr>
        <w:t>ego</w:t>
      </w:r>
      <w:r w:rsidR="00863BCD">
        <w:rPr>
          <w:rFonts w:ascii="Times New Roman" w:eastAsia="Times New Roman" w:hAnsi="Times New Roman" w:cs="Times New Roman"/>
          <w:sz w:val="24"/>
          <w:szCs w:val="24"/>
          <w:lang w:eastAsia="pl-PL"/>
        </w:rPr>
        <w:t>, koniński</w:t>
      </w:r>
      <w:r w:rsidR="00011123">
        <w:rPr>
          <w:rFonts w:ascii="Times New Roman" w:eastAsia="Times New Roman" w:hAnsi="Times New Roman" w:cs="Times New Roman"/>
          <w:sz w:val="24"/>
          <w:szCs w:val="24"/>
          <w:lang w:eastAsia="pl-PL"/>
        </w:rPr>
        <w:t>ego</w:t>
      </w:r>
      <w:r w:rsidR="00863BCD">
        <w:rPr>
          <w:rFonts w:ascii="Times New Roman" w:eastAsia="Times New Roman" w:hAnsi="Times New Roman" w:cs="Times New Roman"/>
          <w:sz w:val="24"/>
          <w:szCs w:val="24"/>
          <w:lang w:eastAsia="pl-PL"/>
        </w:rPr>
        <w:t>, krotoszyński</w:t>
      </w:r>
      <w:r w:rsidR="00011123">
        <w:rPr>
          <w:rFonts w:ascii="Times New Roman" w:eastAsia="Times New Roman" w:hAnsi="Times New Roman" w:cs="Times New Roman"/>
          <w:sz w:val="24"/>
          <w:szCs w:val="24"/>
          <w:lang w:eastAsia="pl-PL"/>
        </w:rPr>
        <w:t>ego</w:t>
      </w:r>
      <w:r w:rsidR="00863BCD">
        <w:rPr>
          <w:rFonts w:ascii="Times New Roman" w:eastAsia="Times New Roman" w:hAnsi="Times New Roman" w:cs="Times New Roman"/>
          <w:sz w:val="24"/>
          <w:szCs w:val="24"/>
          <w:lang w:eastAsia="pl-PL"/>
        </w:rPr>
        <w:t>, nowotomyski</w:t>
      </w:r>
      <w:r w:rsidR="00011123">
        <w:rPr>
          <w:rFonts w:ascii="Times New Roman" w:eastAsia="Times New Roman" w:hAnsi="Times New Roman" w:cs="Times New Roman"/>
          <w:sz w:val="24"/>
          <w:szCs w:val="24"/>
          <w:lang w:eastAsia="pl-PL"/>
        </w:rPr>
        <w:t>ego</w:t>
      </w:r>
      <w:r w:rsidR="00863BCD">
        <w:rPr>
          <w:rFonts w:ascii="Times New Roman" w:eastAsia="Times New Roman" w:hAnsi="Times New Roman" w:cs="Times New Roman"/>
          <w:sz w:val="24"/>
          <w:szCs w:val="24"/>
          <w:lang w:eastAsia="pl-PL"/>
        </w:rPr>
        <w:t>, ostrowski</w:t>
      </w:r>
      <w:r w:rsidR="00011123">
        <w:rPr>
          <w:rFonts w:ascii="Times New Roman" w:eastAsia="Times New Roman" w:hAnsi="Times New Roman" w:cs="Times New Roman"/>
          <w:sz w:val="24"/>
          <w:szCs w:val="24"/>
          <w:lang w:eastAsia="pl-PL"/>
        </w:rPr>
        <w:t>ego</w:t>
      </w:r>
      <w:r w:rsidR="00863BCD">
        <w:rPr>
          <w:rFonts w:ascii="Times New Roman" w:eastAsia="Times New Roman" w:hAnsi="Times New Roman" w:cs="Times New Roman"/>
          <w:sz w:val="24"/>
          <w:szCs w:val="24"/>
          <w:lang w:eastAsia="pl-PL"/>
        </w:rPr>
        <w:t>, ostrzeszowski</w:t>
      </w:r>
      <w:r w:rsidR="00011123">
        <w:rPr>
          <w:rFonts w:ascii="Times New Roman" w:eastAsia="Times New Roman" w:hAnsi="Times New Roman" w:cs="Times New Roman"/>
          <w:sz w:val="24"/>
          <w:szCs w:val="24"/>
          <w:lang w:eastAsia="pl-PL"/>
        </w:rPr>
        <w:t>ego</w:t>
      </w:r>
      <w:r w:rsidR="00863BCD">
        <w:rPr>
          <w:rFonts w:ascii="Times New Roman" w:eastAsia="Times New Roman" w:hAnsi="Times New Roman" w:cs="Times New Roman"/>
          <w:sz w:val="24"/>
          <w:szCs w:val="24"/>
          <w:lang w:eastAsia="pl-PL"/>
        </w:rPr>
        <w:t>, pilski</w:t>
      </w:r>
      <w:r w:rsidR="00011123">
        <w:rPr>
          <w:rFonts w:ascii="Times New Roman" w:eastAsia="Times New Roman" w:hAnsi="Times New Roman" w:cs="Times New Roman"/>
          <w:sz w:val="24"/>
          <w:szCs w:val="24"/>
          <w:lang w:eastAsia="pl-PL"/>
        </w:rPr>
        <w:t>ego</w:t>
      </w:r>
      <w:r w:rsidR="00863BCD">
        <w:rPr>
          <w:rFonts w:ascii="Times New Roman" w:eastAsia="Times New Roman" w:hAnsi="Times New Roman" w:cs="Times New Roman"/>
          <w:sz w:val="24"/>
          <w:szCs w:val="24"/>
          <w:lang w:eastAsia="pl-PL"/>
        </w:rPr>
        <w:t>, pleszewski</w:t>
      </w:r>
      <w:r w:rsidR="00011123">
        <w:rPr>
          <w:rFonts w:ascii="Times New Roman" w:eastAsia="Times New Roman" w:hAnsi="Times New Roman" w:cs="Times New Roman"/>
          <w:sz w:val="24"/>
          <w:szCs w:val="24"/>
          <w:lang w:eastAsia="pl-PL"/>
        </w:rPr>
        <w:t>ego</w:t>
      </w:r>
      <w:r w:rsidR="00863BCD">
        <w:rPr>
          <w:rFonts w:ascii="Times New Roman" w:eastAsia="Times New Roman" w:hAnsi="Times New Roman" w:cs="Times New Roman"/>
          <w:sz w:val="24"/>
          <w:szCs w:val="24"/>
          <w:lang w:eastAsia="pl-PL"/>
        </w:rPr>
        <w:t>, poznański</w:t>
      </w:r>
      <w:r w:rsidR="00011123">
        <w:rPr>
          <w:rFonts w:ascii="Times New Roman" w:eastAsia="Times New Roman" w:hAnsi="Times New Roman" w:cs="Times New Roman"/>
          <w:sz w:val="24"/>
          <w:szCs w:val="24"/>
          <w:lang w:eastAsia="pl-PL"/>
        </w:rPr>
        <w:t>ego</w:t>
      </w:r>
      <w:r w:rsidR="00863BCD">
        <w:rPr>
          <w:rFonts w:ascii="Times New Roman" w:eastAsia="Times New Roman" w:hAnsi="Times New Roman" w:cs="Times New Roman"/>
          <w:sz w:val="24"/>
          <w:szCs w:val="24"/>
          <w:lang w:eastAsia="pl-PL"/>
        </w:rPr>
        <w:t>, słupecki</w:t>
      </w:r>
      <w:r w:rsidR="00011123">
        <w:rPr>
          <w:rFonts w:ascii="Times New Roman" w:eastAsia="Times New Roman" w:hAnsi="Times New Roman" w:cs="Times New Roman"/>
          <w:sz w:val="24"/>
          <w:szCs w:val="24"/>
          <w:lang w:eastAsia="pl-PL"/>
        </w:rPr>
        <w:t>ego</w:t>
      </w:r>
      <w:r w:rsidR="00863BCD">
        <w:rPr>
          <w:rFonts w:ascii="Times New Roman" w:eastAsia="Times New Roman" w:hAnsi="Times New Roman" w:cs="Times New Roman"/>
          <w:sz w:val="24"/>
          <w:szCs w:val="24"/>
          <w:lang w:eastAsia="pl-PL"/>
        </w:rPr>
        <w:t>, szamotulski</w:t>
      </w:r>
      <w:r w:rsidR="00011123">
        <w:rPr>
          <w:rFonts w:ascii="Times New Roman" w:eastAsia="Times New Roman" w:hAnsi="Times New Roman" w:cs="Times New Roman"/>
          <w:sz w:val="24"/>
          <w:szCs w:val="24"/>
          <w:lang w:eastAsia="pl-PL"/>
        </w:rPr>
        <w:t>ego</w:t>
      </w:r>
      <w:r w:rsidR="00863BCD">
        <w:rPr>
          <w:rFonts w:ascii="Times New Roman" w:eastAsia="Times New Roman" w:hAnsi="Times New Roman" w:cs="Times New Roman"/>
          <w:sz w:val="24"/>
          <w:szCs w:val="24"/>
          <w:lang w:eastAsia="pl-PL"/>
        </w:rPr>
        <w:t>, śremski</w:t>
      </w:r>
      <w:r w:rsidR="00011123">
        <w:rPr>
          <w:rFonts w:ascii="Times New Roman" w:eastAsia="Times New Roman" w:hAnsi="Times New Roman" w:cs="Times New Roman"/>
          <w:sz w:val="24"/>
          <w:szCs w:val="24"/>
          <w:lang w:eastAsia="pl-PL"/>
        </w:rPr>
        <w:t>ego</w:t>
      </w:r>
      <w:r w:rsidR="00863BCD">
        <w:rPr>
          <w:rFonts w:ascii="Times New Roman" w:eastAsia="Times New Roman" w:hAnsi="Times New Roman" w:cs="Times New Roman"/>
          <w:sz w:val="24"/>
          <w:szCs w:val="24"/>
          <w:lang w:eastAsia="pl-PL"/>
        </w:rPr>
        <w:t>, turecki</w:t>
      </w:r>
      <w:r w:rsidR="00011123">
        <w:rPr>
          <w:rFonts w:ascii="Times New Roman" w:eastAsia="Times New Roman" w:hAnsi="Times New Roman" w:cs="Times New Roman"/>
          <w:sz w:val="24"/>
          <w:szCs w:val="24"/>
          <w:lang w:eastAsia="pl-PL"/>
        </w:rPr>
        <w:t>ego</w:t>
      </w:r>
      <w:r w:rsidR="00863BCD">
        <w:rPr>
          <w:rFonts w:ascii="Times New Roman" w:eastAsia="Times New Roman" w:hAnsi="Times New Roman" w:cs="Times New Roman"/>
          <w:sz w:val="24"/>
          <w:szCs w:val="24"/>
          <w:lang w:eastAsia="pl-PL"/>
        </w:rPr>
        <w:t>, wągrowiecki</w:t>
      </w:r>
      <w:r w:rsidR="00011123">
        <w:rPr>
          <w:rFonts w:ascii="Times New Roman" w:eastAsia="Times New Roman" w:hAnsi="Times New Roman" w:cs="Times New Roman"/>
          <w:sz w:val="24"/>
          <w:szCs w:val="24"/>
          <w:lang w:eastAsia="pl-PL"/>
        </w:rPr>
        <w:t>ego</w:t>
      </w:r>
      <w:r w:rsidR="00863BCD">
        <w:rPr>
          <w:rFonts w:ascii="Times New Roman" w:eastAsia="Times New Roman" w:hAnsi="Times New Roman" w:cs="Times New Roman"/>
          <w:sz w:val="24"/>
          <w:szCs w:val="24"/>
          <w:lang w:eastAsia="pl-PL"/>
        </w:rPr>
        <w:t>, wrzesiński</w:t>
      </w:r>
      <w:r w:rsidR="00011123">
        <w:rPr>
          <w:rFonts w:ascii="Times New Roman" w:eastAsia="Times New Roman" w:hAnsi="Times New Roman" w:cs="Times New Roman"/>
          <w:sz w:val="24"/>
          <w:szCs w:val="24"/>
          <w:lang w:eastAsia="pl-PL"/>
        </w:rPr>
        <w:t>ego</w:t>
      </w:r>
      <w:r w:rsidR="00863BCD">
        <w:rPr>
          <w:rFonts w:ascii="Times New Roman" w:eastAsia="Times New Roman" w:hAnsi="Times New Roman" w:cs="Times New Roman"/>
          <w:sz w:val="24"/>
          <w:szCs w:val="24"/>
          <w:lang w:eastAsia="pl-PL"/>
        </w:rPr>
        <w:t>, złotowski</w:t>
      </w:r>
      <w:r w:rsidR="00011123">
        <w:rPr>
          <w:rFonts w:ascii="Times New Roman" w:eastAsia="Times New Roman" w:hAnsi="Times New Roman" w:cs="Times New Roman"/>
          <w:sz w:val="24"/>
          <w:szCs w:val="24"/>
          <w:lang w:eastAsia="pl-PL"/>
        </w:rPr>
        <w:t>ego</w:t>
      </w:r>
      <w:r w:rsidRPr="00C15ACC">
        <w:rPr>
          <w:rFonts w:ascii="Times New Roman" w:eastAsia="Times New Roman" w:hAnsi="Times New Roman" w:cs="Times New Roman"/>
          <w:sz w:val="24"/>
          <w:szCs w:val="24"/>
          <w:lang w:eastAsia="pl-PL"/>
        </w:rPr>
        <w:t>. Łączna kwota pozyskanych w ramach programu środków pieniężnych wyniosła 8 </w:t>
      </w:r>
      <w:r w:rsidR="00A40856">
        <w:rPr>
          <w:rFonts w:ascii="Times New Roman" w:eastAsia="Times New Roman" w:hAnsi="Times New Roman" w:cs="Times New Roman"/>
          <w:sz w:val="24"/>
          <w:szCs w:val="24"/>
          <w:lang w:eastAsia="pl-PL"/>
        </w:rPr>
        <w:t>392</w:t>
      </w:r>
      <w:r w:rsidRPr="00C15ACC">
        <w:rPr>
          <w:rFonts w:ascii="Times New Roman" w:eastAsia="Times New Roman" w:hAnsi="Times New Roman" w:cs="Times New Roman"/>
          <w:sz w:val="24"/>
          <w:szCs w:val="24"/>
          <w:lang w:eastAsia="pl-PL"/>
        </w:rPr>
        <w:t> </w:t>
      </w:r>
      <w:r w:rsidR="00A40856">
        <w:rPr>
          <w:rFonts w:ascii="Times New Roman" w:eastAsia="Times New Roman" w:hAnsi="Times New Roman" w:cs="Times New Roman"/>
          <w:sz w:val="24"/>
          <w:szCs w:val="24"/>
          <w:lang w:eastAsia="pl-PL"/>
        </w:rPr>
        <w:t>2</w:t>
      </w:r>
      <w:r w:rsidRPr="00C15ACC">
        <w:rPr>
          <w:rFonts w:ascii="Times New Roman" w:eastAsia="Times New Roman" w:hAnsi="Times New Roman" w:cs="Times New Roman"/>
          <w:sz w:val="24"/>
          <w:szCs w:val="24"/>
          <w:lang w:eastAsia="pl-PL"/>
        </w:rPr>
        <w:t>00,00 zł.</w:t>
      </w:r>
      <w:r>
        <w:rPr>
          <w:rFonts w:ascii="Times New Roman" w:eastAsia="Times New Roman" w:hAnsi="Times New Roman" w:cs="Times New Roman"/>
          <w:sz w:val="24"/>
          <w:szCs w:val="24"/>
          <w:lang w:eastAsia="pl-PL"/>
        </w:rPr>
        <w:t xml:space="preserve"> </w:t>
      </w:r>
    </w:p>
    <w:p w:rsidR="00C15ACC" w:rsidRPr="00C15ACC" w:rsidRDefault="00C15ACC" w:rsidP="00C15ACC">
      <w:pPr>
        <w:spacing w:after="0" w:line="360" w:lineRule="auto"/>
        <w:ind w:firstLine="708"/>
        <w:jc w:val="both"/>
        <w:rPr>
          <w:rFonts w:ascii="Times New Roman" w:eastAsia="Times New Roman" w:hAnsi="Times New Roman" w:cs="Times New Roman"/>
          <w:sz w:val="24"/>
          <w:szCs w:val="24"/>
          <w:lang w:eastAsia="pl-PL"/>
        </w:rPr>
      </w:pPr>
      <w:r w:rsidRPr="00C15ACC">
        <w:rPr>
          <w:rFonts w:ascii="Times New Roman" w:eastAsia="Times New Roman" w:hAnsi="Times New Roman" w:cs="Times New Roman"/>
          <w:sz w:val="24"/>
          <w:szCs w:val="24"/>
          <w:lang w:eastAsia="pl-PL"/>
        </w:rPr>
        <w:t>Na</w:t>
      </w:r>
      <w:r>
        <w:rPr>
          <w:rFonts w:ascii="Times New Roman" w:eastAsia="Times New Roman" w:hAnsi="Times New Roman" w:cs="Times New Roman"/>
          <w:sz w:val="24"/>
          <w:szCs w:val="24"/>
          <w:lang w:eastAsia="pl-PL"/>
        </w:rPr>
        <w:t>tomiast w drugim naborze wniosków, na</w:t>
      </w:r>
      <w:r w:rsidRPr="00C15ACC">
        <w:rPr>
          <w:rFonts w:ascii="Times New Roman" w:eastAsia="Times New Roman" w:hAnsi="Times New Roman" w:cs="Times New Roman"/>
          <w:sz w:val="24"/>
          <w:szCs w:val="24"/>
          <w:lang w:eastAsia="pl-PL"/>
        </w:rPr>
        <w:t xml:space="preserve"> dwa programy - skierowany do bezrobotnych znajdujących się w szczególnej sytuacji na rynku pracy zgodnie z art. 49 ustawy </w:t>
      </w:r>
      <w:r w:rsidR="00E31FB7">
        <w:rPr>
          <w:rFonts w:ascii="Times New Roman" w:eastAsia="Times New Roman" w:hAnsi="Times New Roman" w:cs="Times New Roman"/>
          <w:sz w:val="24"/>
          <w:szCs w:val="24"/>
          <w:lang w:eastAsia="pl-PL"/>
        </w:rPr>
        <w:t xml:space="preserve">(w tym osoby do 25 oraz powyżej 50 roku życia) </w:t>
      </w:r>
      <w:r w:rsidRPr="00C15ACC">
        <w:rPr>
          <w:rFonts w:ascii="Times New Roman" w:eastAsia="Times New Roman" w:hAnsi="Times New Roman" w:cs="Times New Roman"/>
          <w:sz w:val="24"/>
          <w:szCs w:val="24"/>
          <w:lang w:eastAsia="pl-PL"/>
        </w:rPr>
        <w:t xml:space="preserve">oraz skierowany do bezrobotnych </w:t>
      </w:r>
      <w:r w:rsidR="00F40C7A">
        <w:rPr>
          <w:rFonts w:ascii="Times New Roman" w:eastAsia="Times New Roman" w:hAnsi="Times New Roman" w:cs="Times New Roman"/>
          <w:sz w:val="24"/>
          <w:szCs w:val="24"/>
          <w:lang w:eastAsia="pl-PL"/>
        </w:rPr>
        <w:br/>
      </w:r>
      <w:r w:rsidRPr="00C15ACC">
        <w:rPr>
          <w:rFonts w:ascii="Times New Roman" w:eastAsia="Times New Roman" w:hAnsi="Times New Roman" w:cs="Times New Roman"/>
          <w:sz w:val="24"/>
          <w:szCs w:val="24"/>
          <w:lang w:eastAsia="pl-PL"/>
        </w:rPr>
        <w:t>w wieku powyżej 55 lat – złożono odpowiednio 1</w:t>
      </w:r>
      <w:r w:rsidR="00A40856">
        <w:rPr>
          <w:rFonts w:ascii="Times New Roman" w:eastAsia="Times New Roman" w:hAnsi="Times New Roman" w:cs="Times New Roman"/>
          <w:sz w:val="24"/>
          <w:szCs w:val="24"/>
          <w:lang w:eastAsia="pl-PL"/>
        </w:rPr>
        <w:t>4</w:t>
      </w:r>
      <w:r w:rsidRPr="00C15ACC">
        <w:rPr>
          <w:rFonts w:ascii="Times New Roman" w:eastAsia="Times New Roman" w:hAnsi="Times New Roman" w:cs="Times New Roman"/>
          <w:sz w:val="24"/>
          <w:szCs w:val="24"/>
          <w:lang w:eastAsia="pl-PL"/>
        </w:rPr>
        <w:t xml:space="preserve"> </w:t>
      </w:r>
      <w:r w:rsidR="00011123">
        <w:rPr>
          <w:rFonts w:ascii="Times New Roman" w:eastAsia="Times New Roman" w:hAnsi="Times New Roman" w:cs="Times New Roman"/>
          <w:sz w:val="24"/>
          <w:szCs w:val="24"/>
          <w:lang w:eastAsia="pl-PL"/>
        </w:rPr>
        <w:t>(powiat chodzieski, gnieźnieński, gostyński, jarociński, krotoszyński, międzychodzki, nowotomyski, obornicki, ostrowski, pleszewski, słupecki, turecki, wągrowiecki, wrzesiński) i</w:t>
      </w:r>
      <w:r w:rsidRPr="00C15ACC">
        <w:rPr>
          <w:rFonts w:ascii="Times New Roman" w:eastAsia="Times New Roman" w:hAnsi="Times New Roman" w:cs="Times New Roman"/>
          <w:sz w:val="24"/>
          <w:szCs w:val="24"/>
          <w:lang w:eastAsia="pl-PL"/>
        </w:rPr>
        <w:t xml:space="preserve"> 2 wnioski</w:t>
      </w:r>
      <w:r w:rsidR="00011123">
        <w:rPr>
          <w:rFonts w:ascii="Times New Roman" w:eastAsia="Times New Roman" w:hAnsi="Times New Roman" w:cs="Times New Roman"/>
          <w:sz w:val="24"/>
          <w:szCs w:val="24"/>
          <w:lang w:eastAsia="pl-PL"/>
        </w:rPr>
        <w:t xml:space="preserve"> (powiaty pleszewski </w:t>
      </w:r>
      <w:r w:rsidR="00011123">
        <w:rPr>
          <w:rFonts w:ascii="Times New Roman" w:eastAsia="Times New Roman" w:hAnsi="Times New Roman" w:cs="Times New Roman"/>
          <w:sz w:val="24"/>
          <w:szCs w:val="24"/>
          <w:lang w:eastAsia="pl-PL"/>
        </w:rPr>
        <w:br/>
        <w:t>i średzki)</w:t>
      </w:r>
      <w:r w:rsidR="00863BCD">
        <w:rPr>
          <w:rFonts w:ascii="Times New Roman" w:eastAsia="Times New Roman" w:hAnsi="Times New Roman" w:cs="Times New Roman"/>
          <w:sz w:val="24"/>
          <w:szCs w:val="24"/>
          <w:lang w:eastAsia="pl-PL"/>
        </w:rPr>
        <w:t>,</w:t>
      </w:r>
      <w:r w:rsidRPr="00C15ACC">
        <w:rPr>
          <w:rFonts w:ascii="Times New Roman" w:eastAsia="Times New Roman" w:hAnsi="Times New Roman" w:cs="Times New Roman"/>
          <w:sz w:val="24"/>
          <w:szCs w:val="24"/>
          <w:lang w:eastAsia="pl-PL"/>
        </w:rPr>
        <w:t xml:space="preserve"> i pozyskano odpowiednio 9</w:t>
      </w:r>
      <w:r w:rsidR="00A40856">
        <w:rPr>
          <w:rFonts w:ascii="Times New Roman" w:eastAsia="Times New Roman" w:hAnsi="Times New Roman" w:cs="Times New Roman"/>
          <w:sz w:val="24"/>
          <w:szCs w:val="24"/>
          <w:lang w:eastAsia="pl-PL"/>
        </w:rPr>
        <w:t> 814 500</w:t>
      </w:r>
      <w:r w:rsidRPr="00C15ACC">
        <w:rPr>
          <w:rFonts w:ascii="Times New Roman" w:eastAsia="Times New Roman" w:hAnsi="Times New Roman" w:cs="Times New Roman"/>
          <w:sz w:val="24"/>
          <w:szCs w:val="24"/>
          <w:lang w:eastAsia="pl-PL"/>
        </w:rPr>
        <w:t xml:space="preserve">,00 zł oraz 899 900,00 zł. </w:t>
      </w:r>
    </w:p>
    <w:p w:rsidR="00E9480A" w:rsidRPr="00E9480A" w:rsidRDefault="00E9480A" w:rsidP="00D83FFD">
      <w:pPr>
        <w:spacing w:after="0" w:line="480" w:lineRule="auto"/>
        <w:ind w:firstLine="708"/>
        <w:jc w:val="both"/>
        <w:rPr>
          <w:rFonts w:ascii="Times New Roman" w:hAnsi="Times New Roman" w:cs="Times New Roman"/>
          <w:sz w:val="24"/>
          <w:szCs w:val="24"/>
        </w:rPr>
      </w:pPr>
    </w:p>
    <w:p w:rsidR="00E9480A" w:rsidRDefault="00E9480A" w:rsidP="00DF09E9">
      <w:pPr>
        <w:pStyle w:val="Nagwek3"/>
        <w:numPr>
          <w:ilvl w:val="1"/>
          <w:numId w:val="9"/>
        </w:numPr>
        <w:spacing w:before="0" w:line="360" w:lineRule="auto"/>
      </w:pPr>
      <w:bookmarkStart w:id="13" w:name="_Toc333477262"/>
      <w:r>
        <w:t>Rok 2011</w:t>
      </w:r>
      <w:bookmarkEnd w:id="13"/>
    </w:p>
    <w:p w:rsidR="0077152B" w:rsidRDefault="0077152B" w:rsidP="0077152B">
      <w:pPr>
        <w:spacing w:after="0" w:line="360" w:lineRule="auto"/>
        <w:jc w:val="both"/>
        <w:rPr>
          <w:rFonts w:ascii="Times New Roman" w:hAnsi="Times New Roman" w:cs="Times New Roman"/>
          <w:sz w:val="24"/>
          <w:szCs w:val="24"/>
        </w:rPr>
      </w:pPr>
    </w:p>
    <w:p w:rsidR="0077152B" w:rsidRPr="0077152B" w:rsidRDefault="0077152B" w:rsidP="0077152B">
      <w:pPr>
        <w:spacing w:after="0" w:line="360" w:lineRule="auto"/>
        <w:ind w:firstLine="708"/>
        <w:jc w:val="both"/>
        <w:rPr>
          <w:rFonts w:ascii="Times New Roman" w:hAnsi="Times New Roman" w:cs="Times New Roman"/>
          <w:sz w:val="24"/>
          <w:szCs w:val="24"/>
        </w:rPr>
      </w:pPr>
      <w:r w:rsidRPr="0077152B">
        <w:rPr>
          <w:rFonts w:ascii="Times New Roman" w:hAnsi="Times New Roman" w:cs="Times New Roman"/>
          <w:sz w:val="24"/>
          <w:szCs w:val="24"/>
        </w:rPr>
        <w:t>W 2011 roku Ministerstwo Pracy i Polityki Społecznej przygotowało pięć programów, na których finansowanie przeznaczona była rezerwa Funduszu Pracy będąca w dyspozycji Ministra. Środki z rezerwy były przeznaczone na finansowanie realizacji:</w:t>
      </w:r>
    </w:p>
    <w:p w:rsidR="0077152B" w:rsidRPr="0077152B" w:rsidRDefault="0077152B" w:rsidP="0077152B">
      <w:pPr>
        <w:numPr>
          <w:ilvl w:val="0"/>
          <w:numId w:val="10"/>
        </w:numPr>
        <w:spacing w:after="0" w:line="360" w:lineRule="auto"/>
        <w:jc w:val="both"/>
        <w:rPr>
          <w:rFonts w:ascii="Times New Roman" w:hAnsi="Times New Roman" w:cs="Times New Roman"/>
          <w:sz w:val="24"/>
          <w:szCs w:val="24"/>
        </w:rPr>
      </w:pPr>
      <w:r w:rsidRPr="0077152B">
        <w:rPr>
          <w:rFonts w:ascii="Times New Roman" w:hAnsi="Times New Roman" w:cs="Times New Roman"/>
          <w:sz w:val="24"/>
          <w:szCs w:val="24"/>
        </w:rPr>
        <w:t>programów zwiększających aktywność zawodową osób w wieku 45/50 plus,</w:t>
      </w:r>
    </w:p>
    <w:p w:rsidR="0077152B" w:rsidRPr="0077152B" w:rsidRDefault="0077152B" w:rsidP="0077152B">
      <w:pPr>
        <w:numPr>
          <w:ilvl w:val="0"/>
          <w:numId w:val="10"/>
        </w:numPr>
        <w:spacing w:after="0" w:line="360" w:lineRule="auto"/>
        <w:jc w:val="both"/>
        <w:rPr>
          <w:rFonts w:ascii="Times New Roman" w:hAnsi="Times New Roman" w:cs="Times New Roman"/>
          <w:sz w:val="24"/>
          <w:szCs w:val="24"/>
        </w:rPr>
      </w:pPr>
      <w:r w:rsidRPr="0077152B">
        <w:rPr>
          <w:rFonts w:ascii="Times New Roman" w:hAnsi="Times New Roman" w:cs="Times New Roman"/>
          <w:sz w:val="24"/>
          <w:szCs w:val="24"/>
        </w:rPr>
        <w:t>programów aktywizacji zawodowej bezrobotnych zwolnionych z pracy z przyczyn niedotyczących pracowników oraz pracowników objętych zwolnieniami monitorowanymi,</w:t>
      </w:r>
    </w:p>
    <w:p w:rsidR="0077152B" w:rsidRPr="0077152B" w:rsidRDefault="0077152B" w:rsidP="0077152B">
      <w:pPr>
        <w:numPr>
          <w:ilvl w:val="0"/>
          <w:numId w:val="10"/>
        </w:numPr>
        <w:spacing w:after="0" w:line="360" w:lineRule="auto"/>
        <w:jc w:val="both"/>
        <w:rPr>
          <w:rFonts w:ascii="Times New Roman" w:hAnsi="Times New Roman" w:cs="Times New Roman"/>
          <w:sz w:val="24"/>
          <w:szCs w:val="24"/>
        </w:rPr>
      </w:pPr>
      <w:r w:rsidRPr="0077152B">
        <w:rPr>
          <w:rFonts w:ascii="Times New Roman" w:hAnsi="Times New Roman" w:cs="Times New Roman"/>
          <w:sz w:val="24"/>
          <w:szCs w:val="24"/>
        </w:rPr>
        <w:t>programów aktywizacji zawodowej bezrobotnych zwolnionych z pracy z przyczyn niedotyczących pracowników oraz pracowników objętych zwolnieniami monitorowanymi, w ramach programów współfinansowanych z wkładu finansowego Europejskiego Funduszu Dostosowania do Globalizacji,</w:t>
      </w:r>
    </w:p>
    <w:p w:rsidR="0077152B" w:rsidRPr="0077152B" w:rsidRDefault="0077152B" w:rsidP="0077152B">
      <w:pPr>
        <w:numPr>
          <w:ilvl w:val="0"/>
          <w:numId w:val="10"/>
        </w:numPr>
        <w:spacing w:after="0" w:line="360" w:lineRule="auto"/>
        <w:jc w:val="both"/>
        <w:rPr>
          <w:rFonts w:ascii="Times New Roman" w:hAnsi="Times New Roman" w:cs="Times New Roman"/>
          <w:sz w:val="24"/>
          <w:szCs w:val="24"/>
        </w:rPr>
      </w:pPr>
      <w:r w:rsidRPr="0077152B">
        <w:rPr>
          <w:rFonts w:ascii="Times New Roman" w:hAnsi="Times New Roman" w:cs="Times New Roman"/>
          <w:sz w:val="24"/>
          <w:szCs w:val="24"/>
        </w:rPr>
        <w:t>programów związanych z aktywizacją osób bezrobotnych na terenach, na których miały miejsce klęski żywiołowe,</w:t>
      </w:r>
    </w:p>
    <w:p w:rsidR="0077152B" w:rsidRPr="0077152B" w:rsidRDefault="0077152B" w:rsidP="0077152B">
      <w:pPr>
        <w:numPr>
          <w:ilvl w:val="0"/>
          <w:numId w:val="10"/>
        </w:numPr>
        <w:spacing w:after="0" w:line="360" w:lineRule="auto"/>
        <w:jc w:val="both"/>
        <w:rPr>
          <w:rFonts w:ascii="Times New Roman" w:hAnsi="Times New Roman" w:cs="Times New Roman"/>
          <w:sz w:val="24"/>
          <w:szCs w:val="24"/>
        </w:rPr>
      </w:pPr>
      <w:r w:rsidRPr="0077152B">
        <w:rPr>
          <w:rFonts w:ascii="Times New Roman" w:hAnsi="Times New Roman" w:cs="Times New Roman"/>
          <w:sz w:val="24"/>
          <w:szCs w:val="24"/>
        </w:rPr>
        <w:t>programów specjalnych.</w:t>
      </w:r>
    </w:p>
    <w:p w:rsidR="0077152B" w:rsidRPr="0077152B" w:rsidRDefault="0077152B" w:rsidP="0077152B">
      <w:pPr>
        <w:spacing w:after="0" w:line="360" w:lineRule="auto"/>
        <w:jc w:val="both"/>
        <w:rPr>
          <w:rFonts w:ascii="Times New Roman" w:hAnsi="Times New Roman" w:cs="Times New Roman"/>
          <w:sz w:val="24"/>
          <w:szCs w:val="24"/>
        </w:rPr>
      </w:pPr>
      <w:r w:rsidRPr="0077152B">
        <w:rPr>
          <w:rFonts w:ascii="Times New Roman" w:hAnsi="Times New Roman" w:cs="Times New Roman"/>
          <w:sz w:val="24"/>
          <w:szCs w:val="24"/>
        </w:rPr>
        <w:lastRenderedPageBreak/>
        <w:tab/>
      </w:r>
      <w:r w:rsidR="00C2588B">
        <w:rPr>
          <w:rFonts w:ascii="Times New Roman" w:hAnsi="Times New Roman" w:cs="Times New Roman"/>
          <w:sz w:val="24"/>
          <w:szCs w:val="24"/>
        </w:rPr>
        <w:t xml:space="preserve">Na program </w:t>
      </w:r>
      <w:r w:rsidR="00C2588B" w:rsidRPr="0077152B">
        <w:rPr>
          <w:rFonts w:ascii="Times New Roman" w:hAnsi="Times New Roman" w:cs="Times New Roman"/>
          <w:sz w:val="24"/>
          <w:szCs w:val="24"/>
        </w:rPr>
        <w:t>zwiększający aktywność zawodową osób w wieku 45/50 plus,</w:t>
      </w:r>
      <w:r w:rsidR="00C2588B">
        <w:rPr>
          <w:rFonts w:ascii="Times New Roman" w:hAnsi="Times New Roman" w:cs="Times New Roman"/>
          <w:sz w:val="24"/>
          <w:szCs w:val="24"/>
        </w:rPr>
        <w:t xml:space="preserve"> wnioski złożyły 4 samorządy powiatowe</w:t>
      </w:r>
      <w:r w:rsidR="00011123">
        <w:rPr>
          <w:rFonts w:ascii="Times New Roman" w:hAnsi="Times New Roman" w:cs="Times New Roman"/>
          <w:sz w:val="24"/>
          <w:szCs w:val="24"/>
        </w:rPr>
        <w:t xml:space="preserve"> (czarnkowsko-trzcianecki, jarociński, koniński, pleszewski)</w:t>
      </w:r>
      <w:r w:rsidR="00C2588B">
        <w:rPr>
          <w:rFonts w:ascii="Times New Roman" w:hAnsi="Times New Roman" w:cs="Times New Roman"/>
          <w:sz w:val="24"/>
          <w:szCs w:val="24"/>
        </w:rPr>
        <w:t>, na kwotę 1 527 700,00 zł.</w:t>
      </w:r>
    </w:p>
    <w:p w:rsidR="00391AE0" w:rsidRDefault="001C284A" w:rsidP="001C284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Programy specjalne realizowane w 2011 roku, mogły być skierowane do dowolnej grupy bezrobotnych, wybranej przez </w:t>
      </w:r>
      <w:r w:rsidR="009921E2">
        <w:rPr>
          <w:rFonts w:ascii="Times New Roman" w:hAnsi="Times New Roman" w:cs="Times New Roman"/>
          <w:sz w:val="24"/>
          <w:szCs w:val="24"/>
        </w:rPr>
        <w:t>p</w:t>
      </w:r>
      <w:r>
        <w:rPr>
          <w:rFonts w:ascii="Times New Roman" w:hAnsi="Times New Roman" w:cs="Times New Roman"/>
          <w:sz w:val="24"/>
          <w:szCs w:val="24"/>
        </w:rPr>
        <w:t xml:space="preserve">owiatowy </w:t>
      </w:r>
      <w:r w:rsidR="009921E2">
        <w:rPr>
          <w:rFonts w:ascii="Times New Roman" w:hAnsi="Times New Roman" w:cs="Times New Roman"/>
          <w:sz w:val="24"/>
          <w:szCs w:val="24"/>
        </w:rPr>
        <w:t>u</w:t>
      </w:r>
      <w:r>
        <w:rPr>
          <w:rFonts w:ascii="Times New Roman" w:hAnsi="Times New Roman" w:cs="Times New Roman"/>
          <w:sz w:val="24"/>
          <w:szCs w:val="24"/>
        </w:rPr>
        <w:t xml:space="preserve">rząd </w:t>
      </w:r>
      <w:r w:rsidR="009921E2">
        <w:rPr>
          <w:rFonts w:ascii="Times New Roman" w:hAnsi="Times New Roman" w:cs="Times New Roman"/>
          <w:sz w:val="24"/>
          <w:szCs w:val="24"/>
        </w:rPr>
        <w:t>p</w:t>
      </w:r>
      <w:r>
        <w:rPr>
          <w:rFonts w:ascii="Times New Roman" w:hAnsi="Times New Roman" w:cs="Times New Roman"/>
          <w:sz w:val="24"/>
          <w:szCs w:val="24"/>
        </w:rPr>
        <w:t xml:space="preserve">racy, w oparciu o analizę sytuacji na lokalnym rynku pracy. Programy te realizowało w Wielkopolsce 6 samorządów powiatowych: grodziski, kępiński, leszczyński, pilski, turecki i wągrowiecki. Powiatowe </w:t>
      </w:r>
      <w:r w:rsidR="00B52CF2">
        <w:rPr>
          <w:rFonts w:ascii="Times New Roman" w:hAnsi="Times New Roman" w:cs="Times New Roman"/>
          <w:sz w:val="24"/>
          <w:szCs w:val="24"/>
        </w:rPr>
        <w:t>Urzędy P</w:t>
      </w:r>
      <w:r>
        <w:rPr>
          <w:rFonts w:ascii="Times New Roman" w:hAnsi="Times New Roman" w:cs="Times New Roman"/>
          <w:sz w:val="24"/>
          <w:szCs w:val="24"/>
        </w:rPr>
        <w:t xml:space="preserve">racy </w:t>
      </w:r>
      <w:r w:rsidRPr="001B2BCF">
        <w:rPr>
          <w:rFonts w:ascii="Times New Roman" w:hAnsi="Times New Roman" w:cs="Times New Roman"/>
          <w:sz w:val="24"/>
          <w:szCs w:val="24"/>
        </w:rPr>
        <w:t xml:space="preserve">w </w:t>
      </w:r>
      <w:r w:rsidR="00B52CF2">
        <w:rPr>
          <w:rFonts w:ascii="Times New Roman" w:hAnsi="Times New Roman" w:cs="Times New Roman"/>
          <w:sz w:val="24"/>
          <w:szCs w:val="24"/>
        </w:rPr>
        <w:t>Grodzisku</w:t>
      </w:r>
      <w:r w:rsidR="001B2BCF">
        <w:rPr>
          <w:rFonts w:ascii="Times New Roman" w:hAnsi="Times New Roman" w:cs="Times New Roman"/>
          <w:sz w:val="24"/>
          <w:szCs w:val="24"/>
        </w:rPr>
        <w:t xml:space="preserve"> i Turku</w:t>
      </w:r>
      <w:r w:rsidR="00B52CF2">
        <w:rPr>
          <w:rFonts w:ascii="Times New Roman" w:hAnsi="Times New Roman" w:cs="Times New Roman"/>
          <w:sz w:val="24"/>
          <w:szCs w:val="24"/>
        </w:rPr>
        <w:t xml:space="preserve">, </w:t>
      </w:r>
      <w:r w:rsidR="001B2BCF">
        <w:rPr>
          <w:rFonts w:ascii="Times New Roman" w:hAnsi="Times New Roman" w:cs="Times New Roman"/>
          <w:sz w:val="24"/>
          <w:szCs w:val="24"/>
        </w:rPr>
        <w:t xml:space="preserve">skierowały działania w ramach programów do osób bezrobotnych poniżej 25 roku życia, natomiast PUP w </w:t>
      </w:r>
      <w:r w:rsidR="00B52CF2">
        <w:rPr>
          <w:rFonts w:ascii="Times New Roman" w:hAnsi="Times New Roman" w:cs="Times New Roman"/>
          <w:sz w:val="24"/>
          <w:szCs w:val="24"/>
        </w:rPr>
        <w:t xml:space="preserve">Kępnie, Pile </w:t>
      </w:r>
      <w:r w:rsidR="001B2BCF">
        <w:rPr>
          <w:rFonts w:ascii="Times New Roman" w:hAnsi="Times New Roman" w:cs="Times New Roman"/>
          <w:sz w:val="24"/>
          <w:szCs w:val="24"/>
        </w:rPr>
        <w:t xml:space="preserve">i Wągrowcu </w:t>
      </w:r>
      <w:r w:rsidR="0008473A">
        <w:rPr>
          <w:rFonts w:ascii="Times New Roman" w:hAnsi="Times New Roman" w:cs="Times New Roman"/>
          <w:sz w:val="24"/>
          <w:szCs w:val="24"/>
        </w:rPr>
        <w:t xml:space="preserve">objęły </w:t>
      </w:r>
      <w:r>
        <w:rPr>
          <w:rFonts w:ascii="Times New Roman" w:hAnsi="Times New Roman" w:cs="Times New Roman"/>
          <w:sz w:val="24"/>
          <w:szCs w:val="24"/>
        </w:rPr>
        <w:t>działania</w:t>
      </w:r>
      <w:r w:rsidR="0008473A">
        <w:rPr>
          <w:rFonts w:ascii="Times New Roman" w:hAnsi="Times New Roman" w:cs="Times New Roman"/>
          <w:sz w:val="24"/>
          <w:szCs w:val="24"/>
        </w:rPr>
        <w:t xml:space="preserve">mi </w:t>
      </w:r>
      <w:r w:rsidR="001B2BCF">
        <w:rPr>
          <w:rFonts w:ascii="Times New Roman" w:hAnsi="Times New Roman" w:cs="Times New Roman"/>
          <w:sz w:val="24"/>
          <w:szCs w:val="24"/>
        </w:rPr>
        <w:t>zarówno os</w:t>
      </w:r>
      <w:r w:rsidR="0008473A">
        <w:rPr>
          <w:rFonts w:ascii="Times New Roman" w:hAnsi="Times New Roman" w:cs="Times New Roman"/>
          <w:sz w:val="24"/>
          <w:szCs w:val="24"/>
        </w:rPr>
        <w:t>o</w:t>
      </w:r>
      <w:r w:rsidR="001B2BCF">
        <w:rPr>
          <w:rFonts w:ascii="Times New Roman" w:hAnsi="Times New Roman" w:cs="Times New Roman"/>
          <w:sz w:val="24"/>
          <w:szCs w:val="24"/>
        </w:rPr>
        <w:t>b</w:t>
      </w:r>
      <w:r w:rsidR="0008473A">
        <w:rPr>
          <w:rFonts w:ascii="Times New Roman" w:hAnsi="Times New Roman" w:cs="Times New Roman"/>
          <w:sz w:val="24"/>
          <w:szCs w:val="24"/>
        </w:rPr>
        <w:t>y</w:t>
      </w:r>
      <w:r w:rsidR="001B2BCF">
        <w:rPr>
          <w:rFonts w:ascii="Times New Roman" w:hAnsi="Times New Roman" w:cs="Times New Roman"/>
          <w:sz w:val="24"/>
          <w:szCs w:val="24"/>
        </w:rPr>
        <w:t xml:space="preserve"> poniżej 25, jak i</w:t>
      </w:r>
      <w:r>
        <w:rPr>
          <w:rFonts w:ascii="Times New Roman" w:hAnsi="Times New Roman" w:cs="Times New Roman"/>
          <w:sz w:val="24"/>
          <w:szCs w:val="24"/>
        </w:rPr>
        <w:t xml:space="preserve"> powyżej 50 roku życia. Kwota przyznana sześciu wymienionym </w:t>
      </w:r>
      <w:r w:rsidR="009921E2">
        <w:rPr>
          <w:rFonts w:ascii="Times New Roman" w:hAnsi="Times New Roman" w:cs="Times New Roman"/>
          <w:sz w:val="24"/>
          <w:szCs w:val="24"/>
        </w:rPr>
        <w:t>p</w:t>
      </w:r>
      <w:r>
        <w:rPr>
          <w:rFonts w:ascii="Times New Roman" w:hAnsi="Times New Roman" w:cs="Times New Roman"/>
          <w:sz w:val="24"/>
          <w:szCs w:val="24"/>
        </w:rPr>
        <w:t xml:space="preserve">owiatowym </w:t>
      </w:r>
      <w:r w:rsidR="009921E2">
        <w:rPr>
          <w:rFonts w:ascii="Times New Roman" w:hAnsi="Times New Roman" w:cs="Times New Roman"/>
          <w:sz w:val="24"/>
          <w:szCs w:val="24"/>
        </w:rPr>
        <w:t>u</w:t>
      </w:r>
      <w:r>
        <w:rPr>
          <w:rFonts w:ascii="Times New Roman" w:hAnsi="Times New Roman" w:cs="Times New Roman"/>
          <w:sz w:val="24"/>
          <w:szCs w:val="24"/>
        </w:rPr>
        <w:t xml:space="preserve">rzędom </w:t>
      </w:r>
      <w:r w:rsidR="009921E2">
        <w:rPr>
          <w:rFonts w:ascii="Times New Roman" w:hAnsi="Times New Roman" w:cs="Times New Roman"/>
          <w:sz w:val="24"/>
          <w:szCs w:val="24"/>
        </w:rPr>
        <w:t>p</w:t>
      </w:r>
      <w:r>
        <w:rPr>
          <w:rFonts w:ascii="Times New Roman" w:hAnsi="Times New Roman" w:cs="Times New Roman"/>
          <w:sz w:val="24"/>
          <w:szCs w:val="24"/>
        </w:rPr>
        <w:t>racy na realizację programów specjalnych, wyniosła 9 188 200,00 zł.</w:t>
      </w:r>
    </w:p>
    <w:p w:rsidR="001C284A" w:rsidRPr="0077152B" w:rsidRDefault="001C284A" w:rsidP="001C284A">
      <w:pPr>
        <w:spacing w:line="360" w:lineRule="auto"/>
        <w:ind w:firstLine="720"/>
        <w:jc w:val="both"/>
        <w:rPr>
          <w:rFonts w:ascii="Times New Roman" w:hAnsi="Times New Roman" w:cs="Times New Roman"/>
          <w:sz w:val="24"/>
          <w:szCs w:val="24"/>
        </w:rPr>
      </w:pPr>
    </w:p>
    <w:p w:rsidR="00E9480A" w:rsidRDefault="00E9480A" w:rsidP="00DF09E9">
      <w:pPr>
        <w:pStyle w:val="Nagwek3"/>
        <w:numPr>
          <w:ilvl w:val="1"/>
          <w:numId w:val="9"/>
        </w:numPr>
        <w:spacing w:before="0" w:line="360" w:lineRule="auto"/>
      </w:pPr>
      <w:bookmarkStart w:id="14" w:name="_Toc333477263"/>
      <w:r>
        <w:t>Rok 2012</w:t>
      </w:r>
      <w:bookmarkEnd w:id="14"/>
    </w:p>
    <w:p w:rsidR="00063F9C" w:rsidRPr="00063F9C" w:rsidRDefault="00063F9C" w:rsidP="00063F9C"/>
    <w:p w:rsidR="00E9480A" w:rsidRDefault="00063F9C" w:rsidP="00063F9C">
      <w:pPr>
        <w:autoSpaceDE w:val="0"/>
        <w:autoSpaceDN w:val="0"/>
        <w:adjustRightInd w:val="0"/>
        <w:spacing w:after="0" w:line="360" w:lineRule="auto"/>
        <w:ind w:firstLine="708"/>
        <w:jc w:val="both"/>
        <w:rPr>
          <w:rFonts w:ascii="Times New Roman" w:hAnsi="Times New Roman" w:cs="Times New Roman"/>
          <w:sz w:val="24"/>
          <w:szCs w:val="24"/>
        </w:rPr>
      </w:pPr>
      <w:r w:rsidRPr="00063F9C">
        <w:rPr>
          <w:rFonts w:ascii="Times New Roman" w:hAnsi="Times New Roman" w:cs="Times New Roman"/>
          <w:sz w:val="24"/>
          <w:szCs w:val="24"/>
        </w:rPr>
        <w:t>Również w 2012 roku, ze względu na trudną sytuację tych osób na rynku pracy, Ministerstwo szczególn</w:t>
      </w:r>
      <w:r>
        <w:rPr>
          <w:rFonts w:ascii="Times New Roman" w:hAnsi="Times New Roman" w:cs="Times New Roman"/>
          <w:sz w:val="24"/>
          <w:szCs w:val="24"/>
        </w:rPr>
        <w:t>ą</w:t>
      </w:r>
      <w:r w:rsidRPr="00063F9C">
        <w:rPr>
          <w:rFonts w:ascii="Times New Roman" w:hAnsi="Times New Roman" w:cs="Times New Roman"/>
          <w:sz w:val="24"/>
          <w:szCs w:val="24"/>
        </w:rPr>
        <w:t xml:space="preserve"> uwag</w:t>
      </w:r>
      <w:r>
        <w:rPr>
          <w:rFonts w:ascii="Times New Roman" w:hAnsi="Times New Roman" w:cs="Times New Roman"/>
          <w:sz w:val="24"/>
          <w:szCs w:val="24"/>
        </w:rPr>
        <w:t>ą</w:t>
      </w:r>
      <w:r w:rsidRPr="00063F9C">
        <w:rPr>
          <w:rFonts w:ascii="Times New Roman" w:hAnsi="Times New Roman" w:cs="Times New Roman"/>
          <w:sz w:val="24"/>
          <w:szCs w:val="24"/>
        </w:rPr>
        <w:t xml:space="preserve"> obj</w:t>
      </w:r>
      <w:r>
        <w:rPr>
          <w:rFonts w:ascii="Times New Roman" w:hAnsi="Times New Roman" w:cs="Times New Roman"/>
          <w:sz w:val="24"/>
          <w:szCs w:val="24"/>
        </w:rPr>
        <w:t>ę</w:t>
      </w:r>
      <w:r w:rsidRPr="00063F9C">
        <w:rPr>
          <w:rFonts w:ascii="Times New Roman" w:hAnsi="Times New Roman" w:cs="Times New Roman"/>
          <w:sz w:val="24"/>
          <w:szCs w:val="24"/>
        </w:rPr>
        <w:t xml:space="preserve">ło grupy bezrobotnych do 30 roku </w:t>
      </w:r>
      <w:r>
        <w:rPr>
          <w:rFonts w:ascii="Times New Roman" w:hAnsi="Times New Roman" w:cs="Times New Roman"/>
          <w:sz w:val="24"/>
          <w:szCs w:val="24"/>
        </w:rPr>
        <w:t>ż</w:t>
      </w:r>
      <w:r w:rsidRPr="00063F9C">
        <w:rPr>
          <w:rFonts w:ascii="Times New Roman" w:hAnsi="Times New Roman" w:cs="Times New Roman"/>
          <w:sz w:val="24"/>
          <w:szCs w:val="24"/>
        </w:rPr>
        <w:t>ycia oraz</w:t>
      </w:r>
      <w:r>
        <w:rPr>
          <w:rFonts w:ascii="Times New Roman" w:hAnsi="Times New Roman" w:cs="Times New Roman"/>
          <w:sz w:val="24"/>
          <w:szCs w:val="24"/>
        </w:rPr>
        <w:t xml:space="preserve"> </w:t>
      </w:r>
      <w:r w:rsidRPr="00063F9C">
        <w:rPr>
          <w:rFonts w:ascii="Times New Roman" w:hAnsi="Times New Roman" w:cs="Times New Roman"/>
          <w:sz w:val="24"/>
          <w:szCs w:val="24"/>
        </w:rPr>
        <w:t>powy</w:t>
      </w:r>
      <w:r>
        <w:rPr>
          <w:rFonts w:ascii="Times New Roman" w:hAnsi="Times New Roman" w:cs="Times New Roman"/>
          <w:sz w:val="24"/>
          <w:szCs w:val="24"/>
        </w:rPr>
        <w:t>ż</w:t>
      </w:r>
      <w:r w:rsidRPr="00063F9C">
        <w:rPr>
          <w:rFonts w:ascii="Times New Roman" w:hAnsi="Times New Roman" w:cs="Times New Roman"/>
          <w:sz w:val="24"/>
          <w:szCs w:val="24"/>
        </w:rPr>
        <w:t xml:space="preserve">ej 50 roku </w:t>
      </w:r>
      <w:r>
        <w:rPr>
          <w:rFonts w:ascii="Times New Roman" w:hAnsi="Times New Roman" w:cs="Times New Roman"/>
          <w:sz w:val="24"/>
          <w:szCs w:val="24"/>
        </w:rPr>
        <w:t>ż</w:t>
      </w:r>
      <w:r w:rsidRPr="00063F9C">
        <w:rPr>
          <w:rFonts w:ascii="Times New Roman" w:hAnsi="Times New Roman" w:cs="Times New Roman"/>
          <w:sz w:val="24"/>
          <w:szCs w:val="24"/>
        </w:rPr>
        <w:t>ycia, do których skierowana została pomoc w ramach programów</w:t>
      </w:r>
      <w:r>
        <w:rPr>
          <w:rFonts w:ascii="Times New Roman" w:hAnsi="Times New Roman" w:cs="Times New Roman"/>
          <w:sz w:val="24"/>
          <w:szCs w:val="24"/>
        </w:rPr>
        <w:t xml:space="preserve"> </w:t>
      </w:r>
      <w:r w:rsidRPr="00063F9C">
        <w:rPr>
          <w:rFonts w:ascii="Times New Roman" w:hAnsi="Times New Roman" w:cs="Times New Roman"/>
          <w:sz w:val="24"/>
          <w:szCs w:val="24"/>
        </w:rPr>
        <w:t>specjalnych. Podstawowym warunkiem, aby uzna</w:t>
      </w:r>
      <w:r>
        <w:rPr>
          <w:rFonts w:ascii="Times New Roman" w:hAnsi="Times New Roman" w:cs="Times New Roman"/>
          <w:sz w:val="24"/>
          <w:szCs w:val="24"/>
        </w:rPr>
        <w:t>ć</w:t>
      </w:r>
      <w:r w:rsidRPr="00063F9C">
        <w:rPr>
          <w:rFonts w:ascii="Times New Roman" w:hAnsi="Times New Roman" w:cs="Times New Roman"/>
          <w:sz w:val="24"/>
          <w:szCs w:val="24"/>
        </w:rPr>
        <w:t xml:space="preserve">, </w:t>
      </w:r>
      <w:r>
        <w:rPr>
          <w:rFonts w:ascii="Times New Roman" w:hAnsi="Times New Roman" w:cs="Times New Roman"/>
          <w:sz w:val="24"/>
          <w:szCs w:val="24"/>
        </w:rPr>
        <w:t>iż</w:t>
      </w:r>
      <w:r w:rsidRPr="00063F9C">
        <w:rPr>
          <w:rFonts w:ascii="Times New Roman" w:hAnsi="Times New Roman" w:cs="Times New Roman"/>
          <w:sz w:val="24"/>
          <w:szCs w:val="24"/>
        </w:rPr>
        <w:t xml:space="preserve"> program przygotowany przez urz</w:t>
      </w:r>
      <w:r>
        <w:rPr>
          <w:rFonts w:ascii="Times New Roman" w:hAnsi="Times New Roman" w:cs="Times New Roman"/>
          <w:sz w:val="24"/>
          <w:szCs w:val="24"/>
        </w:rPr>
        <w:t>ą</w:t>
      </w:r>
      <w:r w:rsidRPr="00063F9C">
        <w:rPr>
          <w:rFonts w:ascii="Times New Roman" w:hAnsi="Times New Roman" w:cs="Times New Roman"/>
          <w:sz w:val="24"/>
          <w:szCs w:val="24"/>
        </w:rPr>
        <w:t>d</w:t>
      </w:r>
      <w:r>
        <w:rPr>
          <w:rFonts w:ascii="Times New Roman" w:hAnsi="Times New Roman" w:cs="Times New Roman"/>
          <w:sz w:val="24"/>
          <w:szCs w:val="24"/>
        </w:rPr>
        <w:t xml:space="preserve"> </w:t>
      </w:r>
      <w:r w:rsidRPr="00063F9C">
        <w:rPr>
          <w:rFonts w:ascii="Times New Roman" w:hAnsi="Times New Roman" w:cs="Times New Roman"/>
          <w:sz w:val="24"/>
          <w:szCs w:val="24"/>
        </w:rPr>
        <w:t>pracy posiada znamiona programu specjalnego, jest zastosowanie wobec wszystkich jego</w:t>
      </w:r>
      <w:r>
        <w:rPr>
          <w:rFonts w:ascii="Times New Roman" w:hAnsi="Times New Roman" w:cs="Times New Roman"/>
          <w:sz w:val="24"/>
          <w:szCs w:val="24"/>
        </w:rPr>
        <w:t xml:space="preserve"> </w:t>
      </w:r>
      <w:r w:rsidRPr="00063F9C">
        <w:rPr>
          <w:rFonts w:ascii="Times New Roman" w:hAnsi="Times New Roman" w:cs="Times New Roman"/>
          <w:sz w:val="24"/>
          <w:szCs w:val="24"/>
        </w:rPr>
        <w:t>uczestników zarówno usług i instrumentów rynku pracy, jak równie</w:t>
      </w:r>
      <w:r>
        <w:rPr>
          <w:rFonts w:ascii="Times New Roman" w:hAnsi="Times New Roman" w:cs="Times New Roman"/>
          <w:sz w:val="24"/>
          <w:szCs w:val="24"/>
        </w:rPr>
        <w:t>ż</w:t>
      </w:r>
      <w:r w:rsidRPr="00063F9C">
        <w:rPr>
          <w:rFonts w:ascii="Times New Roman" w:hAnsi="Times New Roman" w:cs="Times New Roman"/>
          <w:sz w:val="24"/>
          <w:szCs w:val="24"/>
        </w:rPr>
        <w:t xml:space="preserve"> specyficznych elementów</w:t>
      </w:r>
      <w:r>
        <w:rPr>
          <w:rFonts w:ascii="Times New Roman" w:hAnsi="Times New Roman" w:cs="Times New Roman"/>
          <w:sz w:val="24"/>
          <w:szCs w:val="24"/>
        </w:rPr>
        <w:t xml:space="preserve"> wspierają</w:t>
      </w:r>
      <w:r w:rsidRPr="00063F9C">
        <w:rPr>
          <w:rFonts w:ascii="Times New Roman" w:hAnsi="Times New Roman" w:cs="Times New Roman"/>
          <w:sz w:val="24"/>
          <w:szCs w:val="24"/>
        </w:rPr>
        <w:t>cych zatrudnienie, które maj</w:t>
      </w:r>
      <w:r>
        <w:rPr>
          <w:rFonts w:ascii="Times New Roman" w:hAnsi="Times New Roman" w:cs="Times New Roman"/>
          <w:sz w:val="24"/>
          <w:szCs w:val="24"/>
        </w:rPr>
        <w:t>ą</w:t>
      </w:r>
      <w:r w:rsidRPr="00063F9C">
        <w:rPr>
          <w:rFonts w:ascii="Times New Roman" w:hAnsi="Times New Roman" w:cs="Times New Roman"/>
          <w:sz w:val="24"/>
          <w:szCs w:val="24"/>
        </w:rPr>
        <w:t xml:space="preserve"> stanowi</w:t>
      </w:r>
      <w:r>
        <w:rPr>
          <w:rFonts w:ascii="Times New Roman" w:hAnsi="Times New Roman" w:cs="Times New Roman"/>
          <w:sz w:val="24"/>
          <w:szCs w:val="24"/>
        </w:rPr>
        <w:t>ć</w:t>
      </w:r>
      <w:r w:rsidRPr="00063F9C">
        <w:rPr>
          <w:rFonts w:ascii="Times New Roman" w:hAnsi="Times New Roman" w:cs="Times New Roman"/>
          <w:sz w:val="24"/>
          <w:szCs w:val="24"/>
        </w:rPr>
        <w:t xml:space="preserve"> element niezb</w:t>
      </w:r>
      <w:r>
        <w:rPr>
          <w:rFonts w:ascii="Times New Roman" w:hAnsi="Times New Roman" w:cs="Times New Roman"/>
          <w:sz w:val="24"/>
          <w:szCs w:val="24"/>
        </w:rPr>
        <w:t>ę</w:t>
      </w:r>
      <w:r w:rsidRPr="00063F9C">
        <w:rPr>
          <w:rFonts w:ascii="Times New Roman" w:hAnsi="Times New Roman" w:cs="Times New Roman"/>
          <w:sz w:val="24"/>
          <w:szCs w:val="24"/>
        </w:rPr>
        <w:t>dny do przezwyci</w:t>
      </w:r>
      <w:r>
        <w:rPr>
          <w:rFonts w:ascii="Times New Roman" w:hAnsi="Times New Roman" w:cs="Times New Roman"/>
          <w:sz w:val="24"/>
          <w:szCs w:val="24"/>
        </w:rPr>
        <w:t>ęż</w:t>
      </w:r>
      <w:r w:rsidRPr="00063F9C">
        <w:rPr>
          <w:rFonts w:ascii="Times New Roman" w:hAnsi="Times New Roman" w:cs="Times New Roman"/>
          <w:sz w:val="24"/>
          <w:szCs w:val="24"/>
        </w:rPr>
        <w:t>enia barier,</w:t>
      </w:r>
      <w:r>
        <w:rPr>
          <w:rFonts w:ascii="Times New Roman" w:hAnsi="Times New Roman" w:cs="Times New Roman"/>
          <w:sz w:val="24"/>
          <w:szCs w:val="24"/>
        </w:rPr>
        <w:t xml:space="preserve"> </w:t>
      </w:r>
      <w:r w:rsidRPr="00063F9C">
        <w:rPr>
          <w:rFonts w:ascii="Times New Roman" w:hAnsi="Times New Roman" w:cs="Times New Roman"/>
          <w:sz w:val="24"/>
          <w:szCs w:val="24"/>
        </w:rPr>
        <w:t>utrudniaj</w:t>
      </w:r>
      <w:r>
        <w:rPr>
          <w:rFonts w:ascii="Times New Roman" w:hAnsi="Times New Roman" w:cs="Times New Roman"/>
          <w:sz w:val="24"/>
          <w:szCs w:val="24"/>
        </w:rPr>
        <w:t>ą</w:t>
      </w:r>
      <w:r w:rsidRPr="00063F9C">
        <w:rPr>
          <w:rFonts w:ascii="Times New Roman" w:hAnsi="Times New Roman" w:cs="Times New Roman"/>
          <w:sz w:val="24"/>
          <w:szCs w:val="24"/>
        </w:rPr>
        <w:t>cych aktywizacj</w:t>
      </w:r>
      <w:r>
        <w:rPr>
          <w:rFonts w:ascii="Times New Roman" w:hAnsi="Times New Roman" w:cs="Times New Roman"/>
          <w:sz w:val="24"/>
          <w:szCs w:val="24"/>
        </w:rPr>
        <w:t>ę</w:t>
      </w:r>
      <w:r w:rsidRPr="00063F9C">
        <w:rPr>
          <w:rFonts w:ascii="Times New Roman" w:hAnsi="Times New Roman" w:cs="Times New Roman"/>
          <w:sz w:val="24"/>
          <w:szCs w:val="24"/>
        </w:rPr>
        <w:t xml:space="preserve"> osób bezrobotnych lub do utrzymania miejsc pracy.</w:t>
      </w:r>
    </w:p>
    <w:p w:rsidR="00063F9C" w:rsidRDefault="00063F9C" w:rsidP="00063F9C">
      <w:pPr>
        <w:autoSpaceDE w:val="0"/>
        <w:autoSpaceDN w:val="0"/>
        <w:adjustRightInd w:val="0"/>
        <w:spacing w:after="0" w:line="360" w:lineRule="auto"/>
        <w:ind w:firstLine="708"/>
        <w:jc w:val="both"/>
        <w:rPr>
          <w:rFonts w:ascii="Times New Roman" w:hAnsi="Times New Roman" w:cs="Times New Roman"/>
          <w:sz w:val="24"/>
          <w:szCs w:val="24"/>
        </w:rPr>
      </w:pPr>
      <w:r w:rsidRPr="00063F9C">
        <w:rPr>
          <w:rFonts w:ascii="Times New Roman" w:hAnsi="Times New Roman" w:cs="Times New Roman"/>
          <w:sz w:val="24"/>
          <w:szCs w:val="24"/>
        </w:rPr>
        <w:t xml:space="preserve">Programy finansowane </w:t>
      </w:r>
      <w:r>
        <w:rPr>
          <w:rFonts w:ascii="Times New Roman" w:hAnsi="Times New Roman" w:cs="Times New Roman"/>
          <w:sz w:val="24"/>
          <w:szCs w:val="24"/>
        </w:rPr>
        <w:t>są ze środków Funduszu Pracy pochodzą</w:t>
      </w:r>
      <w:r w:rsidRPr="00063F9C">
        <w:rPr>
          <w:rFonts w:ascii="Times New Roman" w:hAnsi="Times New Roman" w:cs="Times New Roman"/>
          <w:sz w:val="24"/>
          <w:szCs w:val="24"/>
        </w:rPr>
        <w:t xml:space="preserve">cych z rezerwy </w:t>
      </w:r>
      <w:proofErr w:type="spellStart"/>
      <w:r w:rsidR="009921E2">
        <w:rPr>
          <w:rFonts w:ascii="Times New Roman" w:hAnsi="Times New Roman" w:cs="Times New Roman"/>
          <w:sz w:val="24"/>
          <w:szCs w:val="24"/>
        </w:rPr>
        <w:t>MPiPS</w:t>
      </w:r>
      <w:proofErr w:type="spellEnd"/>
      <w:r>
        <w:rPr>
          <w:rFonts w:ascii="Times New Roman" w:hAnsi="Times New Roman" w:cs="Times New Roman"/>
          <w:sz w:val="24"/>
          <w:szCs w:val="24"/>
        </w:rPr>
        <w:t>, z łą</w:t>
      </w:r>
      <w:r w:rsidRPr="00063F9C">
        <w:rPr>
          <w:rFonts w:ascii="Times New Roman" w:hAnsi="Times New Roman" w:cs="Times New Roman"/>
          <w:sz w:val="24"/>
          <w:szCs w:val="24"/>
        </w:rPr>
        <w:t>cznej puli dla Wie</w:t>
      </w:r>
      <w:r>
        <w:rPr>
          <w:rFonts w:ascii="Times New Roman" w:hAnsi="Times New Roman" w:cs="Times New Roman"/>
          <w:sz w:val="24"/>
          <w:szCs w:val="24"/>
        </w:rPr>
        <w:t>lkopolski 5 798,3 tys. zł, na program</w:t>
      </w:r>
      <w:r w:rsidRPr="00063F9C">
        <w:rPr>
          <w:rFonts w:ascii="Times New Roman" w:hAnsi="Times New Roman" w:cs="Times New Roman"/>
          <w:sz w:val="24"/>
          <w:szCs w:val="24"/>
        </w:rPr>
        <w:t xml:space="preserve"> dla osób do</w:t>
      </w:r>
      <w:r>
        <w:rPr>
          <w:rFonts w:ascii="Times New Roman" w:hAnsi="Times New Roman" w:cs="Times New Roman"/>
          <w:sz w:val="24"/>
          <w:szCs w:val="24"/>
        </w:rPr>
        <w:t xml:space="preserve"> </w:t>
      </w:r>
      <w:r w:rsidRPr="00063F9C">
        <w:rPr>
          <w:rFonts w:ascii="Times New Roman" w:hAnsi="Times New Roman" w:cs="Times New Roman"/>
          <w:sz w:val="24"/>
          <w:szCs w:val="24"/>
        </w:rPr>
        <w:t xml:space="preserve">30 roku </w:t>
      </w:r>
      <w:r>
        <w:rPr>
          <w:rFonts w:ascii="Times New Roman" w:hAnsi="Times New Roman" w:cs="Times New Roman"/>
          <w:sz w:val="24"/>
          <w:szCs w:val="24"/>
        </w:rPr>
        <w:t>ż</w:t>
      </w:r>
      <w:r w:rsidRPr="00063F9C">
        <w:rPr>
          <w:rFonts w:ascii="Times New Roman" w:hAnsi="Times New Roman" w:cs="Times New Roman"/>
          <w:sz w:val="24"/>
          <w:szCs w:val="24"/>
        </w:rPr>
        <w:t>ycia</w:t>
      </w:r>
      <w:r>
        <w:rPr>
          <w:rFonts w:ascii="Times New Roman" w:hAnsi="Times New Roman" w:cs="Times New Roman"/>
          <w:sz w:val="24"/>
          <w:szCs w:val="24"/>
        </w:rPr>
        <w:t xml:space="preserve"> przeznaczono</w:t>
      </w:r>
      <w:r w:rsidRPr="00063F9C">
        <w:rPr>
          <w:rFonts w:ascii="Times New Roman" w:hAnsi="Times New Roman" w:cs="Times New Roman"/>
          <w:sz w:val="24"/>
          <w:szCs w:val="24"/>
        </w:rPr>
        <w:t xml:space="preserve"> 3 220,4 tys. zł</w:t>
      </w:r>
      <w:r w:rsidR="00F40C7A">
        <w:rPr>
          <w:rFonts w:ascii="Times New Roman" w:hAnsi="Times New Roman" w:cs="Times New Roman"/>
          <w:sz w:val="24"/>
          <w:szCs w:val="24"/>
        </w:rPr>
        <w:t>,</w:t>
      </w:r>
      <w:r w:rsidRPr="00063F9C">
        <w:rPr>
          <w:rFonts w:ascii="Times New Roman" w:hAnsi="Times New Roman" w:cs="Times New Roman"/>
          <w:sz w:val="24"/>
          <w:szCs w:val="24"/>
        </w:rPr>
        <w:t xml:space="preserve"> </w:t>
      </w:r>
      <w:r>
        <w:rPr>
          <w:rFonts w:ascii="Times New Roman" w:hAnsi="Times New Roman" w:cs="Times New Roman"/>
          <w:sz w:val="24"/>
          <w:szCs w:val="24"/>
        </w:rPr>
        <w:t>a</w:t>
      </w:r>
      <w:r w:rsidRPr="00063F9C">
        <w:rPr>
          <w:rFonts w:ascii="Times New Roman" w:hAnsi="Times New Roman" w:cs="Times New Roman"/>
          <w:sz w:val="24"/>
          <w:szCs w:val="24"/>
        </w:rPr>
        <w:t xml:space="preserve"> dla osób powy</w:t>
      </w:r>
      <w:r>
        <w:rPr>
          <w:rFonts w:ascii="Times New Roman" w:hAnsi="Times New Roman" w:cs="Times New Roman"/>
          <w:sz w:val="24"/>
          <w:szCs w:val="24"/>
        </w:rPr>
        <w:t>żej 50 roku życia</w:t>
      </w:r>
      <w:r w:rsidRPr="00063F9C">
        <w:rPr>
          <w:rFonts w:ascii="Times New Roman" w:hAnsi="Times New Roman" w:cs="Times New Roman"/>
          <w:sz w:val="24"/>
          <w:szCs w:val="24"/>
        </w:rPr>
        <w:t xml:space="preserve"> 2 577,9 tys. zł.</w:t>
      </w:r>
    </w:p>
    <w:p w:rsidR="00C0408E" w:rsidRDefault="00C0408E" w:rsidP="00063F9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ramach programu dla osób do 30 roku życia, do WUP w Poznaniu wpłynęło </w:t>
      </w:r>
      <w:r w:rsidR="00FF0104">
        <w:rPr>
          <w:rFonts w:ascii="Times New Roman" w:hAnsi="Times New Roman" w:cs="Times New Roman"/>
          <w:sz w:val="24"/>
          <w:szCs w:val="24"/>
        </w:rPr>
        <w:br/>
      </w:r>
      <w:r w:rsidR="009921E2">
        <w:rPr>
          <w:rFonts w:ascii="Times New Roman" w:hAnsi="Times New Roman" w:cs="Times New Roman"/>
          <w:sz w:val="24"/>
          <w:szCs w:val="24"/>
        </w:rPr>
        <w:t>29 wniosków z p</w:t>
      </w:r>
      <w:r>
        <w:rPr>
          <w:rFonts w:ascii="Times New Roman" w:hAnsi="Times New Roman" w:cs="Times New Roman"/>
          <w:sz w:val="24"/>
          <w:szCs w:val="24"/>
        </w:rPr>
        <w:t xml:space="preserve">owiatowych </w:t>
      </w:r>
      <w:r w:rsidR="009921E2">
        <w:rPr>
          <w:rFonts w:ascii="Times New Roman" w:hAnsi="Times New Roman" w:cs="Times New Roman"/>
          <w:sz w:val="24"/>
          <w:szCs w:val="24"/>
        </w:rPr>
        <w:t>u</w:t>
      </w:r>
      <w:r>
        <w:rPr>
          <w:rFonts w:ascii="Times New Roman" w:hAnsi="Times New Roman" w:cs="Times New Roman"/>
          <w:sz w:val="24"/>
          <w:szCs w:val="24"/>
        </w:rPr>
        <w:t xml:space="preserve">rzędów </w:t>
      </w:r>
      <w:r w:rsidR="009921E2">
        <w:rPr>
          <w:rFonts w:ascii="Times New Roman" w:hAnsi="Times New Roman" w:cs="Times New Roman"/>
          <w:sz w:val="24"/>
          <w:szCs w:val="24"/>
        </w:rPr>
        <w:t>p</w:t>
      </w:r>
      <w:r w:rsidR="00DB1039">
        <w:rPr>
          <w:rFonts w:ascii="Times New Roman" w:hAnsi="Times New Roman" w:cs="Times New Roman"/>
          <w:sz w:val="24"/>
          <w:szCs w:val="24"/>
        </w:rPr>
        <w:t>racy.</w:t>
      </w:r>
      <w:r>
        <w:rPr>
          <w:rFonts w:ascii="Times New Roman" w:hAnsi="Times New Roman" w:cs="Times New Roman"/>
          <w:sz w:val="24"/>
          <w:szCs w:val="24"/>
        </w:rPr>
        <w:t xml:space="preserve"> </w:t>
      </w:r>
      <w:r w:rsidR="00DB1039">
        <w:rPr>
          <w:rFonts w:ascii="Times New Roman" w:hAnsi="Times New Roman" w:cs="Times New Roman"/>
          <w:sz w:val="24"/>
          <w:szCs w:val="24"/>
        </w:rPr>
        <w:t>W</w:t>
      </w:r>
      <w:r>
        <w:rPr>
          <w:rFonts w:ascii="Times New Roman" w:hAnsi="Times New Roman" w:cs="Times New Roman"/>
          <w:sz w:val="24"/>
          <w:szCs w:val="24"/>
        </w:rPr>
        <w:t xml:space="preserve"> wyniku postępowania konkursowego, Marszałek Województwa Wielkopolskiego zarekomendował do realizacji pr</w:t>
      </w:r>
      <w:r w:rsidR="00CC1249">
        <w:rPr>
          <w:rFonts w:ascii="Times New Roman" w:hAnsi="Times New Roman" w:cs="Times New Roman"/>
          <w:sz w:val="24"/>
          <w:szCs w:val="24"/>
        </w:rPr>
        <w:t>ogramy 8 samorządów powiatowych, tj. jarociński, kaliski, kępiński, kościański, ostrzeszowski, poznański, turecki, złotowski.</w:t>
      </w:r>
    </w:p>
    <w:p w:rsidR="00063F9C" w:rsidRDefault="00C0408E" w:rsidP="00063F9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Natomiast program dla osób powyżej 50 roku życia, cieszył się zainteresowaniem </w:t>
      </w:r>
      <w:r w:rsidR="00FF0104">
        <w:rPr>
          <w:rFonts w:ascii="Times New Roman" w:hAnsi="Times New Roman" w:cs="Times New Roman"/>
          <w:sz w:val="24"/>
          <w:szCs w:val="24"/>
        </w:rPr>
        <w:br/>
      </w:r>
      <w:r>
        <w:rPr>
          <w:rFonts w:ascii="Times New Roman" w:hAnsi="Times New Roman" w:cs="Times New Roman"/>
          <w:sz w:val="24"/>
          <w:szCs w:val="24"/>
        </w:rPr>
        <w:t>14 samorządów, a dofinansowanie otrzymało 6 samorzą</w:t>
      </w:r>
      <w:r w:rsidR="00F16D99">
        <w:rPr>
          <w:rFonts w:ascii="Times New Roman" w:hAnsi="Times New Roman" w:cs="Times New Roman"/>
          <w:sz w:val="24"/>
          <w:szCs w:val="24"/>
        </w:rPr>
        <w:t xml:space="preserve">dów </w:t>
      </w:r>
      <w:r w:rsidR="009921E2">
        <w:rPr>
          <w:rFonts w:ascii="Times New Roman" w:hAnsi="Times New Roman" w:cs="Times New Roman"/>
          <w:sz w:val="24"/>
          <w:szCs w:val="24"/>
        </w:rPr>
        <w:t>w</w:t>
      </w:r>
      <w:r w:rsidR="00F16D99">
        <w:rPr>
          <w:rFonts w:ascii="Times New Roman" w:hAnsi="Times New Roman" w:cs="Times New Roman"/>
          <w:sz w:val="24"/>
          <w:szCs w:val="24"/>
        </w:rPr>
        <w:t xml:space="preserve">ojewództwa </w:t>
      </w:r>
      <w:r w:rsidR="009921E2">
        <w:rPr>
          <w:rFonts w:ascii="Times New Roman" w:hAnsi="Times New Roman" w:cs="Times New Roman"/>
          <w:sz w:val="24"/>
          <w:szCs w:val="24"/>
        </w:rPr>
        <w:t>w</w:t>
      </w:r>
      <w:r w:rsidR="00CC1249">
        <w:rPr>
          <w:rFonts w:ascii="Times New Roman" w:hAnsi="Times New Roman" w:cs="Times New Roman"/>
          <w:sz w:val="24"/>
          <w:szCs w:val="24"/>
        </w:rPr>
        <w:t>ielkopolskiego, tj. kaliski, kępiński, ostrowski, pleszewski, turecki, wągrowiecki.</w:t>
      </w:r>
    </w:p>
    <w:p w:rsidR="00C0408E" w:rsidRDefault="007A6D78" w:rsidP="00063F9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Realizacja zaakceptowanych przez Marszałka Województwa Wielkopolskiego programów rozpoczęła się w czerwcu 2012 roku.</w:t>
      </w:r>
    </w:p>
    <w:p w:rsidR="00C0408E" w:rsidRDefault="00C0408E" w:rsidP="00063F9C">
      <w:pPr>
        <w:autoSpaceDE w:val="0"/>
        <w:autoSpaceDN w:val="0"/>
        <w:adjustRightInd w:val="0"/>
        <w:spacing w:after="0" w:line="360" w:lineRule="auto"/>
        <w:ind w:firstLine="708"/>
        <w:jc w:val="both"/>
        <w:rPr>
          <w:rFonts w:ascii="Times New Roman" w:hAnsi="Times New Roman" w:cs="Times New Roman"/>
          <w:sz w:val="24"/>
          <w:szCs w:val="24"/>
        </w:rPr>
      </w:pPr>
    </w:p>
    <w:p w:rsidR="00CC1249" w:rsidRPr="00063F9C" w:rsidRDefault="00CC1249" w:rsidP="00063F9C">
      <w:pPr>
        <w:autoSpaceDE w:val="0"/>
        <w:autoSpaceDN w:val="0"/>
        <w:adjustRightInd w:val="0"/>
        <w:spacing w:after="0" w:line="360" w:lineRule="auto"/>
        <w:ind w:firstLine="708"/>
        <w:jc w:val="both"/>
        <w:rPr>
          <w:rFonts w:ascii="Times New Roman" w:hAnsi="Times New Roman" w:cs="Times New Roman"/>
          <w:sz w:val="24"/>
          <w:szCs w:val="24"/>
        </w:rPr>
      </w:pPr>
    </w:p>
    <w:p w:rsidR="00FE4034" w:rsidRDefault="00FE4034" w:rsidP="00730B52">
      <w:pPr>
        <w:pStyle w:val="Nagwek2"/>
        <w:numPr>
          <w:ilvl w:val="0"/>
          <w:numId w:val="9"/>
        </w:numPr>
        <w:spacing w:before="0" w:line="360" w:lineRule="auto"/>
        <w:jc w:val="both"/>
      </w:pPr>
      <w:bookmarkStart w:id="15" w:name="_Toc333477264"/>
      <w:r w:rsidRPr="00FE4034">
        <w:t>Założenia Programu pilotażowego M</w:t>
      </w:r>
      <w:r w:rsidR="006070F7">
        <w:t xml:space="preserve">inisterstwa </w:t>
      </w:r>
      <w:r w:rsidRPr="00FE4034">
        <w:t>P</w:t>
      </w:r>
      <w:r w:rsidR="006070F7">
        <w:t xml:space="preserve">racy </w:t>
      </w:r>
      <w:r w:rsidRPr="00FE4034">
        <w:t>i</w:t>
      </w:r>
      <w:r w:rsidR="006070F7">
        <w:t xml:space="preserve"> </w:t>
      </w:r>
      <w:r w:rsidRPr="00FE4034">
        <w:t>P</w:t>
      </w:r>
      <w:r w:rsidR="006070F7">
        <w:t xml:space="preserve">olityki </w:t>
      </w:r>
      <w:r w:rsidRPr="00FE4034">
        <w:t>S</w:t>
      </w:r>
      <w:r w:rsidR="006070F7">
        <w:t>połecznej</w:t>
      </w:r>
      <w:r w:rsidRPr="00FE4034">
        <w:t xml:space="preserve"> „Młodzi na rynku pracy. Działania na rzecz zmniejszenia bezrobocia młodzieży”</w:t>
      </w:r>
      <w:bookmarkEnd w:id="15"/>
    </w:p>
    <w:p w:rsidR="00DF09E9" w:rsidRDefault="00DF09E9" w:rsidP="00DF09E9">
      <w:pPr>
        <w:spacing w:after="0"/>
      </w:pPr>
    </w:p>
    <w:p w:rsidR="00DF09E9" w:rsidRDefault="00DF09E9" w:rsidP="00DF09E9">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W 2012 roku Ministerstwo Pracy i Polityki Społecznej zdecydowało się uruchomić program </w:t>
      </w:r>
      <w:r w:rsidRPr="00DF09E9">
        <w:rPr>
          <w:rFonts w:ascii="Times New Roman" w:hAnsi="Times New Roman" w:cs="Times New Roman"/>
          <w:sz w:val="24"/>
        </w:rPr>
        <w:t>„Młodzi na rynku pracy”</w:t>
      </w:r>
      <w:r>
        <w:rPr>
          <w:rFonts w:ascii="Times New Roman" w:hAnsi="Times New Roman" w:cs="Times New Roman"/>
          <w:sz w:val="24"/>
        </w:rPr>
        <w:t>,</w:t>
      </w:r>
      <w:r w:rsidRPr="00DF09E9">
        <w:rPr>
          <w:rFonts w:ascii="Times New Roman" w:hAnsi="Times New Roman" w:cs="Times New Roman"/>
          <w:sz w:val="24"/>
        </w:rPr>
        <w:t xml:space="preserve"> stanowi</w:t>
      </w:r>
      <w:r>
        <w:rPr>
          <w:rFonts w:ascii="Times New Roman" w:hAnsi="Times New Roman" w:cs="Times New Roman"/>
          <w:sz w:val="24"/>
        </w:rPr>
        <w:t>ący</w:t>
      </w:r>
      <w:r w:rsidRPr="00DF09E9">
        <w:rPr>
          <w:rFonts w:ascii="Times New Roman" w:hAnsi="Times New Roman" w:cs="Times New Roman"/>
          <w:sz w:val="24"/>
        </w:rPr>
        <w:t xml:space="preserve"> realizację polityki rządu oraz zaleceń Komisji Europejskiej przedstawionych w </w:t>
      </w:r>
      <w:r w:rsidR="009373BC">
        <w:rPr>
          <w:rFonts w:ascii="Times New Roman" w:hAnsi="Times New Roman" w:cs="Times New Roman"/>
          <w:sz w:val="24"/>
        </w:rPr>
        <w:t>komunikacie I</w:t>
      </w:r>
      <w:r w:rsidRPr="00DF09E9">
        <w:rPr>
          <w:rFonts w:ascii="Times New Roman" w:hAnsi="Times New Roman" w:cs="Times New Roman"/>
          <w:sz w:val="24"/>
        </w:rPr>
        <w:t>nicjatywa „Szanse dla młodzieży”.</w:t>
      </w:r>
      <w:r>
        <w:rPr>
          <w:rFonts w:ascii="Times New Roman" w:hAnsi="Times New Roman" w:cs="Times New Roman"/>
          <w:sz w:val="24"/>
        </w:rPr>
        <w:t xml:space="preserve"> </w:t>
      </w:r>
      <w:r w:rsidRPr="00DF09E9">
        <w:rPr>
          <w:rFonts w:ascii="Times New Roman" w:hAnsi="Times New Roman" w:cs="Times New Roman"/>
          <w:sz w:val="24"/>
        </w:rPr>
        <w:t xml:space="preserve">Celem strategicznym programu jest wypracowanie mechanizmów wsparcia ludzi młodych, w tym absolwentów na rynku pracy. </w:t>
      </w:r>
    </w:p>
    <w:p w:rsidR="00EA4369" w:rsidRDefault="00EA4369" w:rsidP="00EA4369">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W Wielkopolsce do udziału w programie zostały </w:t>
      </w:r>
      <w:r w:rsidR="00243D2C">
        <w:rPr>
          <w:rFonts w:ascii="Times New Roman" w:hAnsi="Times New Roman" w:cs="Times New Roman"/>
          <w:sz w:val="24"/>
        </w:rPr>
        <w:t>wyznaczone</w:t>
      </w:r>
      <w:r>
        <w:rPr>
          <w:rFonts w:ascii="Times New Roman" w:hAnsi="Times New Roman" w:cs="Times New Roman"/>
          <w:sz w:val="24"/>
        </w:rPr>
        <w:t xml:space="preserve"> Powiatowy Urząd Pracy w Koninie </w:t>
      </w:r>
      <w:r w:rsidRPr="00F25A57">
        <w:rPr>
          <w:rFonts w:ascii="Times New Roman" w:hAnsi="Times New Roman" w:cs="Times New Roman"/>
          <w:sz w:val="24"/>
        </w:rPr>
        <w:t xml:space="preserve">(140 uczestników) </w:t>
      </w:r>
      <w:r>
        <w:rPr>
          <w:rFonts w:ascii="Times New Roman" w:hAnsi="Times New Roman" w:cs="Times New Roman"/>
          <w:sz w:val="24"/>
        </w:rPr>
        <w:t>i w</w:t>
      </w:r>
      <w:r w:rsidRPr="00F25A57">
        <w:rPr>
          <w:rFonts w:ascii="Times New Roman" w:hAnsi="Times New Roman" w:cs="Times New Roman"/>
          <w:sz w:val="24"/>
        </w:rPr>
        <w:t xml:space="preserve"> Pozna</w:t>
      </w:r>
      <w:r>
        <w:rPr>
          <w:rFonts w:ascii="Times New Roman" w:hAnsi="Times New Roman" w:cs="Times New Roman"/>
          <w:sz w:val="24"/>
        </w:rPr>
        <w:t xml:space="preserve">niu (200 uczestników), a na liście rezerwowej </w:t>
      </w:r>
      <w:r>
        <w:rPr>
          <w:rFonts w:ascii="Times New Roman" w:hAnsi="Times New Roman" w:cs="Times New Roman"/>
          <w:sz w:val="24"/>
        </w:rPr>
        <w:br/>
        <w:t>(w</w:t>
      </w:r>
      <w:r w:rsidRPr="00F25A57">
        <w:rPr>
          <w:rFonts w:ascii="Times New Roman" w:hAnsi="Times New Roman" w:cs="Times New Roman"/>
          <w:sz w:val="24"/>
        </w:rPr>
        <w:t xml:space="preserve"> przypadku braku możliwości wzięcia udziału w pilotażu przez </w:t>
      </w:r>
      <w:r>
        <w:rPr>
          <w:rFonts w:ascii="Times New Roman" w:hAnsi="Times New Roman" w:cs="Times New Roman"/>
          <w:sz w:val="24"/>
        </w:rPr>
        <w:t>któryś z wytypowanych urzędów), znalazły się: PUP w Gnieźnie</w:t>
      </w:r>
      <w:r w:rsidRPr="00F25A57">
        <w:rPr>
          <w:rFonts w:ascii="Times New Roman" w:hAnsi="Times New Roman" w:cs="Times New Roman"/>
          <w:sz w:val="24"/>
        </w:rPr>
        <w:t xml:space="preserve"> (140 uczestników) </w:t>
      </w:r>
      <w:r>
        <w:rPr>
          <w:rFonts w:ascii="Times New Roman" w:hAnsi="Times New Roman" w:cs="Times New Roman"/>
          <w:sz w:val="24"/>
        </w:rPr>
        <w:t>oraz PUP w Pile</w:t>
      </w:r>
      <w:r w:rsidRPr="00F25A57">
        <w:rPr>
          <w:rFonts w:ascii="Times New Roman" w:hAnsi="Times New Roman" w:cs="Times New Roman"/>
          <w:sz w:val="24"/>
        </w:rPr>
        <w:t xml:space="preserve"> (140 uczestników).</w:t>
      </w:r>
    </w:p>
    <w:p w:rsidR="008A56B4" w:rsidRPr="00F25A57" w:rsidRDefault="008A56B4" w:rsidP="008A56B4">
      <w:pPr>
        <w:spacing w:after="0" w:line="360" w:lineRule="auto"/>
        <w:ind w:firstLine="708"/>
        <w:jc w:val="both"/>
        <w:rPr>
          <w:rFonts w:ascii="Times New Roman" w:hAnsi="Times New Roman" w:cs="Times New Roman"/>
          <w:sz w:val="24"/>
        </w:rPr>
      </w:pPr>
      <w:r w:rsidRPr="00F25A57">
        <w:rPr>
          <w:rFonts w:ascii="Times New Roman" w:hAnsi="Times New Roman" w:cs="Times New Roman"/>
          <w:sz w:val="24"/>
        </w:rPr>
        <w:t>Realizatorzy pilotażu – powiaty, zostały wyłonione w oparciu o następujące kryteria:</w:t>
      </w:r>
    </w:p>
    <w:p w:rsidR="008A56B4" w:rsidRPr="006759E1" w:rsidRDefault="008A56B4" w:rsidP="008A56B4">
      <w:pPr>
        <w:pStyle w:val="Akapitzlist"/>
        <w:numPr>
          <w:ilvl w:val="0"/>
          <w:numId w:val="12"/>
        </w:numPr>
        <w:tabs>
          <w:tab w:val="left" w:pos="426"/>
        </w:tabs>
        <w:spacing w:after="0" w:line="360" w:lineRule="auto"/>
        <w:jc w:val="both"/>
        <w:rPr>
          <w:rFonts w:ascii="Times New Roman" w:hAnsi="Times New Roman" w:cs="Times New Roman"/>
          <w:sz w:val="24"/>
        </w:rPr>
      </w:pPr>
      <w:r w:rsidRPr="006759E1">
        <w:rPr>
          <w:rFonts w:ascii="Times New Roman" w:hAnsi="Times New Roman" w:cs="Times New Roman"/>
          <w:sz w:val="24"/>
        </w:rPr>
        <w:t xml:space="preserve">podział jednostek na małe (do 49,9 tys. ludności), średnie (od 50 do 149,9 tys.) i duże (pow. 150 tys.), a następnie określenie jakiej wielkości powiaty powinny wziąć udział w badaniu w każdym z województw (ze względu na strukturę ludności </w:t>
      </w:r>
      <w:r>
        <w:rPr>
          <w:rFonts w:ascii="Times New Roman" w:hAnsi="Times New Roman" w:cs="Times New Roman"/>
          <w:sz w:val="24"/>
        </w:rPr>
        <w:br/>
      </w:r>
      <w:r w:rsidRPr="006759E1">
        <w:rPr>
          <w:rFonts w:ascii="Times New Roman" w:hAnsi="Times New Roman" w:cs="Times New Roman"/>
          <w:sz w:val="24"/>
        </w:rPr>
        <w:t>w województwie wg zamieszkania w powiatach średnich, dużych i małych),</w:t>
      </w:r>
    </w:p>
    <w:p w:rsidR="008A56B4" w:rsidRPr="006759E1" w:rsidRDefault="008A56B4" w:rsidP="008A56B4">
      <w:pPr>
        <w:pStyle w:val="Akapitzlist"/>
        <w:numPr>
          <w:ilvl w:val="0"/>
          <w:numId w:val="12"/>
        </w:numPr>
        <w:tabs>
          <w:tab w:val="left" w:pos="426"/>
        </w:tabs>
        <w:spacing w:after="0" w:line="360" w:lineRule="auto"/>
        <w:jc w:val="both"/>
        <w:rPr>
          <w:rFonts w:ascii="Times New Roman" w:hAnsi="Times New Roman" w:cs="Times New Roman"/>
          <w:sz w:val="24"/>
        </w:rPr>
      </w:pPr>
      <w:r w:rsidRPr="006759E1">
        <w:rPr>
          <w:rFonts w:ascii="Times New Roman" w:hAnsi="Times New Roman" w:cs="Times New Roman"/>
          <w:sz w:val="24"/>
        </w:rPr>
        <w:t>liczba bezrobotnych do 30 roku życia,</w:t>
      </w:r>
    </w:p>
    <w:p w:rsidR="008A56B4" w:rsidRPr="006759E1" w:rsidRDefault="008A56B4" w:rsidP="008A56B4">
      <w:pPr>
        <w:pStyle w:val="Akapitzlist"/>
        <w:numPr>
          <w:ilvl w:val="0"/>
          <w:numId w:val="12"/>
        </w:numPr>
        <w:tabs>
          <w:tab w:val="left" w:pos="426"/>
        </w:tabs>
        <w:spacing w:after="0" w:line="360" w:lineRule="auto"/>
        <w:jc w:val="both"/>
        <w:rPr>
          <w:rFonts w:ascii="Times New Roman" w:hAnsi="Times New Roman" w:cs="Times New Roman"/>
          <w:sz w:val="24"/>
        </w:rPr>
      </w:pPr>
      <w:r w:rsidRPr="006759E1">
        <w:rPr>
          <w:rFonts w:ascii="Times New Roman" w:hAnsi="Times New Roman" w:cs="Times New Roman"/>
          <w:sz w:val="24"/>
        </w:rPr>
        <w:t>udział bezrobotnych do 30 roku życia w ogólnej liczbie bezrobotnych.</w:t>
      </w:r>
    </w:p>
    <w:p w:rsidR="008A56B4" w:rsidRPr="00F25A57" w:rsidRDefault="008A56B4" w:rsidP="008A56B4">
      <w:pPr>
        <w:spacing w:after="0" w:line="360" w:lineRule="auto"/>
        <w:jc w:val="both"/>
        <w:rPr>
          <w:rFonts w:ascii="Times New Roman" w:hAnsi="Times New Roman" w:cs="Times New Roman"/>
          <w:sz w:val="24"/>
        </w:rPr>
      </w:pPr>
      <w:r w:rsidRPr="00F25A57">
        <w:rPr>
          <w:rFonts w:ascii="Times New Roman" w:hAnsi="Times New Roman" w:cs="Times New Roman"/>
          <w:sz w:val="24"/>
        </w:rPr>
        <w:tab/>
        <w:t xml:space="preserve">Założono również, że liczba osób objętych pilotażem w poszczególnych </w:t>
      </w:r>
      <w:r>
        <w:rPr>
          <w:rFonts w:ascii="Times New Roman" w:hAnsi="Times New Roman" w:cs="Times New Roman"/>
          <w:sz w:val="24"/>
        </w:rPr>
        <w:t>p</w:t>
      </w:r>
      <w:r w:rsidRPr="00F25A57">
        <w:rPr>
          <w:rFonts w:ascii="Times New Roman" w:hAnsi="Times New Roman" w:cs="Times New Roman"/>
          <w:sz w:val="24"/>
        </w:rPr>
        <w:t xml:space="preserve">owiatowych </w:t>
      </w:r>
      <w:r>
        <w:rPr>
          <w:rFonts w:ascii="Times New Roman" w:hAnsi="Times New Roman" w:cs="Times New Roman"/>
          <w:sz w:val="24"/>
        </w:rPr>
        <w:t>u</w:t>
      </w:r>
      <w:r w:rsidRPr="00F25A57">
        <w:rPr>
          <w:rFonts w:ascii="Times New Roman" w:hAnsi="Times New Roman" w:cs="Times New Roman"/>
          <w:sz w:val="24"/>
        </w:rPr>
        <w:t xml:space="preserve">rzędach </w:t>
      </w:r>
      <w:r>
        <w:rPr>
          <w:rFonts w:ascii="Times New Roman" w:hAnsi="Times New Roman" w:cs="Times New Roman"/>
          <w:sz w:val="24"/>
        </w:rPr>
        <w:t>p</w:t>
      </w:r>
      <w:r w:rsidRPr="00F25A57">
        <w:rPr>
          <w:rFonts w:ascii="Times New Roman" w:hAnsi="Times New Roman" w:cs="Times New Roman"/>
          <w:sz w:val="24"/>
        </w:rPr>
        <w:t>racy, będzie stała dla powiatów, ze względu na liczbę ludności w powiecie i będzie odpowiednio wynosiła:</w:t>
      </w:r>
    </w:p>
    <w:p w:rsidR="008A56B4" w:rsidRPr="006759E1" w:rsidRDefault="008A56B4" w:rsidP="008A56B4">
      <w:pPr>
        <w:pStyle w:val="Akapitzlist"/>
        <w:numPr>
          <w:ilvl w:val="0"/>
          <w:numId w:val="11"/>
        </w:numPr>
        <w:spacing w:after="0" w:line="360" w:lineRule="auto"/>
        <w:jc w:val="both"/>
        <w:rPr>
          <w:rFonts w:ascii="Times New Roman" w:hAnsi="Times New Roman" w:cs="Times New Roman"/>
          <w:sz w:val="24"/>
        </w:rPr>
      </w:pPr>
      <w:r w:rsidRPr="006759E1">
        <w:rPr>
          <w:rFonts w:ascii="Times New Roman" w:hAnsi="Times New Roman" w:cs="Times New Roman"/>
          <w:sz w:val="24"/>
        </w:rPr>
        <w:t>powiat mały - 60 osób,</w:t>
      </w:r>
    </w:p>
    <w:p w:rsidR="008A56B4" w:rsidRPr="006759E1" w:rsidRDefault="008A56B4" w:rsidP="008A56B4">
      <w:pPr>
        <w:pStyle w:val="Akapitzlist"/>
        <w:numPr>
          <w:ilvl w:val="0"/>
          <w:numId w:val="11"/>
        </w:numPr>
        <w:spacing w:after="0" w:line="360" w:lineRule="auto"/>
        <w:jc w:val="both"/>
        <w:rPr>
          <w:rFonts w:ascii="Times New Roman" w:hAnsi="Times New Roman" w:cs="Times New Roman"/>
          <w:sz w:val="24"/>
        </w:rPr>
      </w:pPr>
      <w:r w:rsidRPr="006759E1">
        <w:rPr>
          <w:rFonts w:ascii="Times New Roman" w:hAnsi="Times New Roman" w:cs="Times New Roman"/>
          <w:sz w:val="24"/>
        </w:rPr>
        <w:t>powiat średni - 140 osób,</w:t>
      </w:r>
    </w:p>
    <w:p w:rsidR="008A56B4" w:rsidRPr="006759E1" w:rsidRDefault="008A56B4" w:rsidP="008A56B4">
      <w:pPr>
        <w:pStyle w:val="Akapitzlist"/>
        <w:numPr>
          <w:ilvl w:val="0"/>
          <w:numId w:val="11"/>
        </w:numPr>
        <w:spacing w:after="0" w:line="360" w:lineRule="auto"/>
        <w:jc w:val="both"/>
        <w:rPr>
          <w:rFonts w:ascii="Times New Roman" w:hAnsi="Times New Roman" w:cs="Times New Roman"/>
          <w:sz w:val="24"/>
        </w:rPr>
      </w:pPr>
      <w:r w:rsidRPr="006759E1">
        <w:rPr>
          <w:rFonts w:ascii="Times New Roman" w:hAnsi="Times New Roman" w:cs="Times New Roman"/>
          <w:sz w:val="24"/>
        </w:rPr>
        <w:t>powiat duży - 200 osób.</w:t>
      </w:r>
    </w:p>
    <w:p w:rsidR="008A56B4" w:rsidRPr="00F25A57" w:rsidRDefault="008A56B4" w:rsidP="008A56B4">
      <w:pPr>
        <w:spacing w:after="0" w:line="360" w:lineRule="auto"/>
        <w:ind w:firstLine="708"/>
        <w:jc w:val="both"/>
        <w:rPr>
          <w:rFonts w:ascii="Times New Roman" w:hAnsi="Times New Roman" w:cs="Times New Roman"/>
          <w:sz w:val="24"/>
        </w:rPr>
      </w:pPr>
      <w:r w:rsidRPr="00F25A57">
        <w:rPr>
          <w:rFonts w:ascii="Times New Roman" w:hAnsi="Times New Roman" w:cs="Times New Roman"/>
          <w:sz w:val="24"/>
        </w:rPr>
        <w:lastRenderedPageBreak/>
        <w:t>Liczba osób uczestniczących w projekcie wyniesie łącznie 3</w:t>
      </w:r>
      <w:r>
        <w:rPr>
          <w:rFonts w:ascii="Times New Roman" w:hAnsi="Times New Roman" w:cs="Times New Roman"/>
          <w:sz w:val="24"/>
        </w:rPr>
        <w:t> </w:t>
      </w:r>
      <w:r w:rsidRPr="00F25A57">
        <w:rPr>
          <w:rFonts w:ascii="Times New Roman" w:hAnsi="Times New Roman" w:cs="Times New Roman"/>
          <w:sz w:val="24"/>
        </w:rPr>
        <w:t>040</w:t>
      </w:r>
      <w:r>
        <w:rPr>
          <w:rFonts w:ascii="Times New Roman" w:hAnsi="Times New Roman" w:cs="Times New Roman"/>
          <w:sz w:val="24"/>
        </w:rPr>
        <w:t xml:space="preserve"> </w:t>
      </w:r>
      <w:r w:rsidRPr="00F25A57">
        <w:rPr>
          <w:rFonts w:ascii="Times New Roman" w:hAnsi="Times New Roman" w:cs="Times New Roman"/>
          <w:sz w:val="24"/>
        </w:rPr>
        <w:t>osób z 23 powiatów, z tego z 6 powiatów małych, 12 średnich i 5 dużych.</w:t>
      </w:r>
    </w:p>
    <w:p w:rsidR="00DF09E9" w:rsidRDefault="00DF09E9" w:rsidP="00DF09E9">
      <w:pPr>
        <w:spacing w:after="0" w:line="360" w:lineRule="auto"/>
        <w:ind w:firstLine="708"/>
        <w:jc w:val="both"/>
        <w:rPr>
          <w:rFonts w:ascii="Times New Roman" w:hAnsi="Times New Roman" w:cs="Times New Roman"/>
          <w:sz w:val="24"/>
        </w:rPr>
      </w:pPr>
      <w:r w:rsidRPr="00DF09E9">
        <w:rPr>
          <w:rFonts w:ascii="Times New Roman" w:hAnsi="Times New Roman" w:cs="Times New Roman"/>
          <w:sz w:val="24"/>
        </w:rPr>
        <w:t xml:space="preserve">Program </w:t>
      </w:r>
      <w:r w:rsidR="00EA4369" w:rsidRPr="00DF09E9">
        <w:rPr>
          <w:rFonts w:ascii="Times New Roman" w:hAnsi="Times New Roman" w:cs="Times New Roman"/>
          <w:sz w:val="24"/>
        </w:rPr>
        <w:t>„Młodzi na rynku pracy”</w:t>
      </w:r>
      <w:r w:rsidRPr="00DF09E9">
        <w:rPr>
          <w:rFonts w:ascii="Times New Roman" w:hAnsi="Times New Roman" w:cs="Times New Roman"/>
          <w:sz w:val="24"/>
        </w:rPr>
        <w:t xml:space="preserve"> stanowi pakiet działań inicjowanych bezpośrednio przez Ministra Pracy i Polityki Społecznej, podejmowanych wspólnie z instytucjami rynku pracy</w:t>
      </w:r>
      <w:r>
        <w:rPr>
          <w:rFonts w:ascii="Times New Roman" w:hAnsi="Times New Roman" w:cs="Times New Roman"/>
          <w:sz w:val="24"/>
        </w:rPr>
        <w:t xml:space="preserve"> i </w:t>
      </w:r>
      <w:r w:rsidRPr="00DF09E9">
        <w:rPr>
          <w:rFonts w:ascii="Times New Roman" w:hAnsi="Times New Roman" w:cs="Times New Roman"/>
          <w:sz w:val="24"/>
        </w:rPr>
        <w:t xml:space="preserve">opiera się o </w:t>
      </w:r>
      <w:r>
        <w:rPr>
          <w:rFonts w:ascii="Times New Roman" w:hAnsi="Times New Roman" w:cs="Times New Roman"/>
          <w:sz w:val="24"/>
        </w:rPr>
        <w:t xml:space="preserve">dwa </w:t>
      </w:r>
      <w:r w:rsidRPr="00DF09E9">
        <w:rPr>
          <w:rFonts w:ascii="Times New Roman" w:hAnsi="Times New Roman" w:cs="Times New Roman"/>
          <w:sz w:val="24"/>
        </w:rPr>
        <w:t>bloki działań</w:t>
      </w:r>
      <w:r>
        <w:rPr>
          <w:rFonts w:ascii="Times New Roman" w:hAnsi="Times New Roman" w:cs="Times New Roman"/>
          <w:sz w:val="24"/>
        </w:rPr>
        <w:t>, tj. projekt</w:t>
      </w:r>
      <w:r w:rsidRPr="00DF09E9">
        <w:rPr>
          <w:rFonts w:ascii="Times New Roman" w:hAnsi="Times New Roman" w:cs="Times New Roman"/>
          <w:sz w:val="24"/>
        </w:rPr>
        <w:t xml:space="preserve"> pilotażow</w:t>
      </w:r>
      <w:r>
        <w:rPr>
          <w:rFonts w:ascii="Times New Roman" w:hAnsi="Times New Roman" w:cs="Times New Roman"/>
          <w:sz w:val="24"/>
        </w:rPr>
        <w:t>y „Twoja Kariera – Twój Wybór” oraz programy specjalne.</w:t>
      </w:r>
    </w:p>
    <w:p w:rsidR="008A56B4" w:rsidRPr="00F25A57" w:rsidRDefault="00DF09E9" w:rsidP="008A56B4">
      <w:pPr>
        <w:spacing w:after="0" w:line="360" w:lineRule="auto"/>
        <w:ind w:firstLine="708"/>
        <w:jc w:val="both"/>
        <w:rPr>
          <w:rFonts w:ascii="Times New Roman" w:hAnsi="Times New Roman" w:cs="Times New Roman"/>
          <w:sz w:val="24"/>
        </w:rPr>
      </w:pPr>
      <w:r w:rsidRPr="00DF09E9">
        <w:rPr>
          <w:rFonts w:ascii="Times New Roman" w:hAnsi="Times New Roman" w:cs="Times New Roman"/>
          <w:sz w:val="24"/>
        </w:rPr>
        <w:t xml:space="preserve">Założeniem projektu pilotażowego „Twoja Kariera – Twój Wybór”, jest przetestowanie wzorcowego schematu pracy z osobami bezrobotnymi do 30 roku życia oraz sprawdzenie w praktyce innowacyjnych narzędzi służących zwiększaniu aktywności, samodzielności i mobilności osób młodych. W projekcie wezmą udział osoby bezrobotne do 30 roku życia, zarejestrowane w </w:t>
      </w:r>
      <w:r w:rsidR="00DB1039">
        <w:rPr>
          <w:rFonts w:ascii="Times New Roman" w:hAnsi="Times New Roman" w:cs="Times New Roman"/>
          <w:sz w:val="24"/>
        </w:rPr>
        <w:t>powiatowym urzędzie p</w:t>
      </w:r>
      <w:r w:rsidRPr="00DF09E9">
        <w:rPr>
          <w:rFonts w:ascii="Times New Roman" w:hAnsi="Times New Roman" w:cs="Times New Roman"/>
          <w:sz w:val="24"/>
        </w:rPr>
        <w:t xml:space="preserve">racy. Liczba urzędów pracy biorących udział w pilotażu oraz liczba uczestników uzależniona </w:t>
      </w:r>
      <w:r w:rsidR="00156D4E">
        <w:rPr>
          <w:rFonts w:ascii="Times New Roman" w:hAnsi="Times New Roman" w:cs="Times New Roman"/>
          <w:sz w:val="24"/>
        </w:rPr>
        <w:t>została</w:t>
      </w:r>
      <w:r w:rsidRPr="00DF09E9">
        <w:rPr>
          <w:rFonts w:ascii="Times New Roman" w:hAnsi="Times New Roman" w:cs="Times New Roman"/>
          <w:sz w:val="24"/>
        </w:rPr>
        <w:t xml:space="preserve"> od możliw</w:t>
      </w:r>
      <w:r w:rsidR="008A56B4">
        <w:rPr>
          <w:rFonts w:ascii="Times New Roman" w:hAnsi="Times New Roman" w:cs="Times New Roman"/>
          <w:sz w:val="24"/>
        </w:rPr>
        <w:t>ości budżetowych Funduszu Pracy oraz z</w:t>
      </w:r>
      <w:r w:rsidR="008A56B4" w:rsidRPr="00F25A57">
        <w:rPr>
          <w:rFonts w:ascii="Times New Roman" w:hAnsi="Times New Roman" w:cs="Times New Roman"/>
          <w:sz w:val="24"/>
        </w:rPr>
        <w:t>ałożono, że z każdego województwa uczestniczyć będzie w pilotażu po jednym powiecie o najwyższej liczbie bezrobotnych do 30 r</w:t>
      </w:r>
      <w:r w:rsidR="008A56B4">
        <w:rPr>
          <w:rFonts w:ascii="Times New Roman" w:hAnsi="Times New Roman" w:cs="Times New Roman"/>
          <w:sz w:val="24"/>
        </w:rPr>
        <w:t>oku</w:t>
      </w:r>
      <w:r w:rsidR="008A56B4" w:rsidRPr="00F25A57">
        <w:rPr>
          <w:rFonts w:ascii="Times New Roman" w:hAnsi="Times New Roman" w:cs="Times New Roman"/>
          <w:sz w:val="24"/>
        </w:rPr>
        <w:t xml:space="preserve"> ż</w:t>
      </w:r>
      <w:r w:rsidR="008A56B4">
        <w:rPr>
          <w:rFonts w:ascii="Times New Roman" w:hAnsi="Times New Roman" w:cs="Times New Roman"/>
          <w:sz w:val="24"/>
        </w:rPr>
        <w:t>ycia</w:t>
      </w:r>
      <w:r w:rsidR="008A56B4" w:rsidRPr="00F25A57">
        <w:rPr>
          <w:rFonts w:ascii="Times New Roman" w:hAnsi="Times New Roman" w:cs="Times New Roman"/>
          <w:sz w:val="24"/>
        </w:rPr>
        <w:t xml:space="preserve"> (małym, średnim lub dużym w zależności od rozkładu ludności w województwie). </w:t>
      </w:r>
    </w:p>
    <w:p w:rsidR="008A56B4" w:rsidRDefault="008A56B4" w:rsidP="008A56B4">
      <w:pPr>
        <w:spacing w:after="0" w:line="360" w:lineRule="auto"/>
        <w:ind w:firstLine="708"/>
        <w:jc w:val="both"/>
        <w:rPr>
          <w:rFonts w:ascii="Times New Roman" w:hAnsi="Times New Roman" w:cs="Times New Roman"/>
          <w:sz w:val="24"/>
        </w:rPr>
      </w:pPr>
      <w:r w:rsidRPr="00F25A57">
        <w:rPr>
          <w:rFonts w:ascii="Times New Roman" w:hAnsi="Times New Roman" w:cs="Times New Roman"/>
          <w:sz w:val="24"/>
        </w:rPr>
        <w:t>Ponadto</w:t>
      </w:r>
      <w:r>
        <w:rPr>
          <w:rFonts w:ascii="Times New Roman" w:hAnsi="Times New Roman" w:cs="Times New Roman"/>
          <w:sz w:val="24"/>
        </w:rPr>
        <w:t>,</w:t>
      </w:r>
      <w:r w:rsidRPr="00F25A57">
        <w:rPr>
          <w:rFonts w:ascii="Times New Roman" w:hAnsi="Times New Roman" w:cs="Times New Roman"/>
          <w:sz w:val="24"/>
        </w:rPr>
        <w:t xml:space="preserve"> wyłoniono cztery powiaty o wysokim odsetku bezrobotnych do 30 r</w:t>
      </w:r>
      <w:r>
        <w:rPr>
          <w:rFonts w:ascii="Times New Roman" w:hAnsi="Times New Roman" w:cs="Times New Roman"/>
          <w:sz w:val="24"/>
        </w:rPr>
        <w:t>oku</w:t>
      </w:r>
      <w:r w:rsidRPr="00F25A57">
        <w:rPr>
          <w:rFonts w:ascii="Times New Roman" w:hAnsi="Times New Roman" w:cs="Times New Roman"/>
          <w:sz w:val="24"/>
        </w:rPr>
        <w:t xml:space="preserve"> ż</w:t>
      </w:r>
      <w:r>
        <w:rPr>
          <w:rFonts w:ascii="Times New Roman" w:hAnsi="Times New Roman" w:cs="Times New Roman"/>
          <w:sz w:val="24"/>
        </w:rPr>
        <w:t>ycia</w:t>
      </w:r>
      <w:r w:rsidRPr="00F25A57">
        <w:rPr>
          <w:rFonts w:ascii="Times New Roman" w:hAnsi="Times New Roman" w:cs="Times New Roman"/>
          <w:sz w:val="24"/>
        </w:rPr>
        <w:t xml:space="preserve"> w województwie. Są to powiaty z województw: małopolskiego, podkarpackiego, podlaskiego, świętokrzyskiego i kujawsko – pomorskiego. Dodatkowo wyłoniono jeden powiat w województwie dolnośląskim z uwagi na specyficzną sytuację na rynku pracy oraz dwie aglomeracje miejskie – miasta Kraków i Poznań. </w:t>
      </w:r>
    </w:p>
    <w:p w:rsidR="008A56B4" w:rsidRDefault="008A56B4" w:rsidP="008A56B4">
      <w:pPr>
        <w:spacing w:after="0" w:line="360" w:lineRule="auto"/>
        <w:ind w:firstLine="708"/>
        <w:jc w:val="both"/>
        <w:rPr>
          <w:rFonts w:ascii="Times New Roman" w:hAnsi="Times New Roman" w:cs="Times New Roman"/>
          <w:sz w:val="24"/>
        </w:rPr>
      </w:pPr>
      <w:r w:rsidRPr="00F25A57">
        <w:rPr>
          <w:rFonts w:ascii="Times New Roman" w:hAnsi="Times New Roman" w:cs="Times New Roman"/>
          <w:sz w:val="24"/>
        </w:rPr>
        <w:t>Z samorządami powiatów wyłonionych do realizacji pilotażu podpisane zosta</w:t>
      </w:r>
      <w:r>
        <w:rPr>
          <w:rFonts w:ascii="Times New Roman" w:hAnsi="Times New Roman" w:cs="Times New Roman"/>
          <w:sz w:val="24"/>
        </w:rPr>
        <w:t>ły</w:t>
      </w:r>
      <w:r w:rsidRPr="00F25A57">
        <w:rPr>
          <w:rFonts w:ascii="Times New Roman" w:hAnsi="Times New Roman" w:cs="Times New Roman"/>
          <w:sz w:val="24"/>
        </w:rPr>
        <w:t xml:space="preserve"> umowy określające szczegółowe warunki realizacji pilotażu, wielkość i sposób wydatkowania środków.</w:t>
      </w:r>
    </w:p>
    <w:p w:rsidR="00DF09E9" w:rsidRPr="00DF09E9" w:rsidRDefault="008A56B4" w:rsidP="00DF09E9">
      <w:pPr>
        <w:spacing w:after="0" w:line="360" w:lineRule="auto"/>
        <w:ind w:firstLine="708"/>
        <w:jc w:val="both"/>
        <w:rPr>
          <w:rFonts w:ascii="Times New Roman" w:hAnsi="Times New Roman" w:cs="Times New Roman"/>
          <w:sz w:val="24"/>
        </w:rPr>
      </w:pPr>
      <w:r>
        <w:rPr>
          <w:rFonts w:ascii="Times New Roman" w:hAnsi="Times New Roman" w:cs="Times New Roman"/>
          <w:sz w:val="24"/>
        </w:rPr>
        <w:t>Program zakłada, że g</w:t>
      </w:r>
      <w:r w:rsidR="00DF09E9" w:rsidRPr="00DF09E9">
        <w:rPr>
          <w:rFonts w:ascii="Times New Roman" w:hAnsi="Times New Roman" w:cs="Times New Roman"/>
          <w:sz w:val="24"/>
        </w:rPr>
        <w:t>rupie objętej pilotażem towarzyszyć będzie grupa kontrolna, którą wprowadza się w celu porównania efektywności nowych i obowiązujących obecni</w:t>
      </w:r>
      <w:r w:rsidR="00DF09E9">
        <w:rPr>
          <w:rFonts w:ascii="Times New Roman" w:hAnsi="Times New Roman" w:cs="Times New Roman"/>
          <w:sz w:val="24"/>
        </w:rPr>
        <w:t xml:space="preserve">e rozwiązań. </w:t>
      </w:r>
      <w:r w:rsidR="00DF09E9" w:rsidRPr="00DF09E9">
        <w:rPr>
          <w:rFonts w:ascii="Times New Roman" w:hAnsi="Times New Roman" w:cs="Times New Roman"/>
          <w:sz w:val="24"/>
        </w:rPr>
        <w:t>Uczestnicy pilotażu skorzystają z zaprojektowanej wyłącznie dla osób w wieku do 30 roku życia oferty, na którą składać się będą usługi rynku pracy oraz wyselekcjonowane instrumenty – testowane w drodze pilotażu, tj. :</w:t>
      </w:r>
    </w:p>
    <w:p w:rsidR="00DF09E9" w:rsidRPr="00DF09E9" w:rsidRDefault="00DF09E9" w:rsidP="002772B0">
      <w:pPr>
        <w:tabs>
          <w:tab w:val="left" w:pos="993"/>
        </w:tabs>
        <w:spacing w:after="0" w:line="360" w:lineRule="auto"/>
        <w:ind w:firstLine="708"/>
        <w:jc w:val="both"/>
        <w:rPr>
          <w:rFonts w:ascii="Times New Roman" w:hAnsi="Times New Roman" w:cs="Times New Roman"/>
          <w:sz w:val="24"/>
        </w:rPr>
      </w:pPr>
      <w:r w:rsidRPr="00DF09E9">
        <w:rPr>
          <w:rFonts w:ascii="Times New Roman" w:hAnsi="Times New Roman" w:cs="Times New Roman"/>
          <w:sz w:val="24"/>
        </w:rPr>
        <w:t>1.</w:t>
      </w:r>
      <w:r w:rsidRPr="00DF09E9">
        <w:rPr>
          <w:rFonts w:ascii="Times New Roman" w:hAnsi="Times New Roman" w:cs="Times New Roman"/>
          <w:sz w:val="24"/>
        </w:rPr>
        <w:tab/>
        <w:t>indywidualne wsparcie opiekuna,</w:t>
      </w:r>
    </w:p>
    <w:p w:rsidR="00DF09E9" w:rsidRPr="00DF09E9" w:rsidRDefault="00DF09E9" w:rsidP="002772B0">
      <w:pPr>
        <w:tabs>
          <w:tab w:val="left" w:pos="993"/>
        </w:tabs>
        <w:spacing w:after="0" w:line="360" w:lineRule="auto"/>
        <w:ind w:firstLine="708"/>
        <w:jc w:val="both"/>
        <w:rPr>
          <w:rFonts w:ascii="Times New Roman" w:hAnsi="Times New Roman" w:cs="Times New Roman"/>
          <w:sz w:val="24"/>
        </w:rPr>
      </w:pPr>
      <w:r w:rsidRPr="00DF09E9">
        <w:rPr>
          <w:rFonts w:ascii="Times New Roman" w:hAnsi="Times New Roman" w:cs="Times New Roman"/>
          <w:sz w:val="24"/>
        </w:rPr>
        <w:t>2.</w:t>
      </w:r>
      <w:r w:rsidRPr="00DF09E9">
        <w:rPr>
          <w:rFonts w:ascii="Times New Roman" w:hAnsi="Times New Roman" w:cs="Times New Roman"/>
          <w:sz w:val="24"/>
        </w:rPr>
        <w:tab/>
        <w:t>promesa aktywizacji młodych:</w:t>
      </w:r>
    </w:p>
    <w:p w:rsidR="00DF09E9" w:rsidRPr="002772B0" w:rsidRDefault="00DF09E9" w:rsidP="002772B0">
      <w:pPr>
        <w:pStyle w:val="Akapitzlist"/>
        <w:numPr>
          <w:ilvl w:val="0"/>
          <w:numId w:val="17"/>
        </w:numPr>
        <w:spacing w:after="0" w:line="360" w:lineRule="auto"/>
        <w:ind w:left="1418" w:hanging="284"/>
        <w:jc w:val="both"/>
        <w:rPr>
          <w:rFonts w:ascii="Times New Roman" w:hAnsi="Times New Roman" w:cs="Times New Roman"/>
          <w:sz w:val="24"/>
        </w:rPr>
      </w:pPr>
      <w:r w:rsidRPr="002772B0">
        <w:rPr>
          <w:rFonts w:ascii="Times New Roman" w:hAnsi="Times New Roman" w:cs="Times New Roman"/>
          <w:sz w:val="24"/>
        </w:rPr>
        <w:t>bon stażowy,</w:t>
      </w:r>
    </w:p>
    <w:p w:rsidR="00DF09E9" w:rsidRPr="002772B0" w:rsidRDefault="00DF09E9" w:rsidP="002772B0">
      <w:pPr>
        <w:pStyle w:val="Akapitzlist"/>
        <w:numPr>
          <w:ilvl w:val="0"/>
          <w:numId w:val="17"/>
        </w:numPr>
        <w:spacing w:after="0" w:line="360" w:lineRule="auto"/>
        <w:ind w:left="1418" w:hanging="284"/>
        <w:jc w:val="both"/>
        <w:rPr>
          <w:rFonts w:ascii="Times New Roman" w:hAnsi="Times New Roman" w:cs="Times New Roman"/>
          <w:sz w:val="24"/>
        </w:rPr>
      </w:pPr>
      <w:r w:rsidRPr="002772B0">
        <w:rPr>
          <w:rFonts w:ascii="Times New Roman" w:hAnsi="Times New Roman" w:cs="Times New Roman"/>
          <w:sz w:val="24"/>
        </w:rPr>
        <w:t>bon szkoleniowy,</w:t>
      </w:r>
    </w:p>
    <w:p w:rsidR="00DF09E9" w:rsidRPr="002772B0" w:rsidRDefault="00DF09E9" w:rsidP="002772B0">
      <w:pPr>
        <w:pStyle w:val="Akapitzlist"/>
        <w:numPr>
          <w:ilvl w:val="0"/>
          <w:numId w:val="17"/>
        </w:numPr>
        <w:spacing w:after="0" w:line="360" w:lineRule="auto"/>
        <w:ind w:left="1418" w:hanging="284"/>
        <w:jc w:val="both"/>
        <w:rPr>
          <w:rFonts w:ascii="Times New Roman" w:hAnsi="Times New Roman" w:cs="Times New Roman"/>
          <w:sz w:val="24"/>
        </w:rPr>
      </w:pPr>
      <w:r w:rsidRPr="002772B0">
        <w:rPr>
          <w:rFonts w:ascii="Times New Roman" w:hAnsi="Times New Roman" w:cs="Times New Roman"/>
          <w:sz w:val="24"/>
        </w:rPr>
        <w:t>bon na kształcenie zawodowe lub policealne,</w:t>
      </w:r>
    </w:p>
    <w:p w:rsidR="00DF09E9" w:rsidRPr="002772B0" w:rsidRDefault="00DF09E9" w:rsidP="002772B0">
      <w:pPr>
        <w:pStyle w:val="Akapitzlist"/>
        <w:numPr>
          <w:ilvl w:val="0"/>
          <w:numId w:val="17"/>
        </w:numPr>
        <w:spacing w:after="0" w:line="360" w:lineRule="auto"/>
        <w:ind w:left="1418" w:hanging="284"/>
        <w:jc w:val="both"/>
        <w:rPr>
          <w:rFonts w:ascii="Times New Roman" w:hAnsi="Times New Roman" w:cs="Times New Roman"/>
          <w:sz w:val="24"/>
        </w:rPr>
      </w:pPr>
      <w:r w:rsidRPr="002772B0">
        <w:rPr>
          <w:rFonts w:ascii="Times New Roman" w:hAnsi="Times New Roman" w:cs="Times New Roman"/>
          <w:sz w:val="24"/>
        </w:rPr>
        <w:t>bon na kształcenie podyplomowe,</w:t>
      </w:r>
    </w:p>
    <w:p w:rsidR="00DF09E9" w:rsidRPr="002772B0" w:rsidRDefault="00DF09E9" w:rsidP="002772B0">
      <w:pPr>
        <w:pStyle w:val="Akapitzlist"/>
        <w:numPr>
          <w:ilvl w:val="0"/>
          <w:numId w:val="17"/>
        </w:numPr>
        <w:spacing w:after="0" w:line="360" w:lineRule="auto"/>
        <w:ind w:left="1418" w:hanging="284"/>
        <w:jc w:val="both"/>
        <w:rPr>
          <w:rFonts w:ascii="Times New Roman" w:hAnsi="Times New Roman" w:cs="Times New Roman"/>
          <w:sz w:val="24"/>
        </w:rPr>
      </w:pPr>
      <w:r w:rsidRPr="002772B0">
        <w:rPr>
          <w:rFonts w:ascii="Times New Roman" w:hAnsi="Times New Roman" w:cs="Times New Roman"/>
          <w:sz w:val="24"/>
        </w:rPr>
        <w:lastRenderedPageBreak/>
        <w:t xml:space="preserve">bon dla pracodawcy za zatrudnienie absolwenta szkoły wyższej, </w:t>
      </w:r>
    </w:p>
    <w:p w:rsidR="00F25A57" w:rsidRPr="00F25A57" w:rsidRDefault="00DF09E9" w:rsidP="008A56B4">
      <w:pPr>
        <w:tabs>
          <w:tab w:val="left" w:pos="993"/>
        </w:tabs>
        <w:spacing w:after="0" w:line="360" w:lineRule="auto"/>
        <w:ind w:firstLine="708"/>
        <w:jc w:val="both"/>
        <w:rPr>
          <w:rFonts w:ascii="Times New Roman" w:hAnsi="Times New Roman" w:cs="Times New Roman"/>
          <w:sz w:val="24"/>
        </w:rPr>
      </w:pPr>
      <w:r w:rsidRPr="00DF09E9">
        <w:rPr>
          <w:rFonts w:ascii="Times New Roman" w:hAnsi="Times New Roman" w:cs="Times New Roman"/>
          <w:sz w:val="24"/>
        </w:rPr>
        <w:t>3.</w:t>
      </w:r>
      <w:r w:rsidRPr="00DF09E9">
        <w:rPr>
          <w:rFonts w:ascii="Times New Roman" w:hAnsi="Times New Roman" w:cs="Times New Roman"/>
          <w:sz w:val="24"/>
        </w:rPr>
        <w:tab/>
        <w:t>dotacja na zasiedlenie.</w:t>
      </w:r>
      <w:r w:rsidR="00F25A57" w:rsidRPr="00F25A57">
        <w:rPr>
          <w:rFonts w:ascii="Times New Roman" w:hAnsi="Times New Roman" w:cs="Times New Roman"/>
          <w:sz w:val="24"/>
        </w:rPr>
        <w:tab/>
      </w:r>
    </w:p>
    <w:p w:rsidR="00F25A57" w:rsidRPr="00DF09E9" w:rsidRDefault="00F25A57" w:rsidP="00F25A57">
      <w:pPr>
        <w:spacing w:after="0" w:line="360" w:lineRule="auto"/>
        <w:jc w:val="both"/>
        <w:rPr>
          <w:rFonts w:ascii="Times New Roman" w:hAnsi="Times New Roman" w:cs="Times New Roman"/>
          <w:sz w:val="24"/>
        </w:rPr>
      </w:pPr>
      <w:r>
        <w:rPr>
          <w:rFonts w:ascii="Times New Roman" w:hAnsi="Times New Roman" w:cs="Times New Roman"/>
          <w:sz w:val="24"/>
        </w:rPr>
        <w:tab/>
        <w:t xml:space="preserve">Wsparcie dla działań podejmowanych w ramach Programu stanowić będzie współpraca powiatowych urzędów pracy z partnerami na lokalnych rynkach pracy, takimi jak Ochotnicze Hufce Pracy czy </w:t>
      </w:r>
      <w:r w:rsidR="009373BC">
        <w:rPr>
          <w:rFonts w:ascii="Times New Roman" w:hAnsi="Times New Roman" w:cs="Times New Roman"/>
          <w:sz w:val="24"/>
        </w:rPr>
        <w:t>a</w:t>
      </w:r>
      <w:r>
        <w:rPr>
          <w:rFonts w:ascii="Times New Roman" w:hAnsi="Times New Roman" w:cs="Times New Roman"/>
          <w:sz w:val="24"/>
        </w:rPr>
        <w:t xml:space="preserve">kademickie </w:t>
      </w:r>
      <w:r w:rsidR="009373BC">
        <w:rPr>
          <w:rFonts w:ascii="Times New Roman" w:hAnsi="Times New Roman" w:cs="Times New Roman"/>
          <w:sz w:val="24"/>
        </w:rPr>
        <w:t>b</w:t>
      </w:r>
      <w:r>
        <w:rPr>
          <w:rFonts w:ascii="Times New Roman" w:hAnsi="Times New Roman" w:cs="Times New Roman"/>
          <w:sz w:val="24"/>
        </w:rPr>
        <w:t xml:space="preserve">iura </w:t>
      </w:r>
      <w:r w:rsidR="009373BC">
        <w:rPr>
          <w:rFonts w:ascii="Times New Roman" w:hAnsi="Times New Roman" w:cs="Times New Roman"/>
          <w:sz w:val="24"/>
        </w:rPr>
        <w:t>k</w:t>
      </w:r>
      <w:r>
        <w:rPr>
          <w:rFonts w:ascii="Times New Roman" w:hAnsi="Times New Roman" w:cs="Times New Roman"/>
          <w:sz w:val="24"/>
        </w:rPr>
        <w:t>arier.</w:t>
      </w:r>
    </w:p>
    <w:p w:rsidR="009753C4" w:rsidRDefault="009753C4" w:rsidP="00DF09E9">
      <w:pPr>
        <w:spacing w:after="0" w:line="360" w:lineRule="auto"/>
        <w:rPr>
          <w:rFonts w:asciiTheme="majorHAnsi" w:eastAsiaTheme="majorEastAsia" w:hAnsiTheme="majorHAnsi" w:cstheme="majorBidi"/>
          <w:b/>
          <w:bCs/>
          <w:color w:val="365F91" w:themeColor="accent1" w:themeShade="BF"/>
          <w:sz w:val="28"/>
          <w:szCs w:val="28"/>
        </w:rPr>
      </w:pPr>
      <w:r>
        <w:br w:type="page"/>
      </w:r>
    </w:p>
    <w:p w:rsidR="007E709D" w:rsidRDefault="007E709D" w:rsidP="00730B52">
      <w:pPr>
        <w:pStyle w:val="Nagwek1"/>
        <w:numPr>
          <w:ilvl w:val="0"/>
          <w:numId w:val="5"/>
        </w:numPr>
        <w:spacing w:before="0" w:line="360" w:lineRule="auto"/>
        <w:ind w:left="567" w:hanging="567"/>
        <w:jc w:val="both"/>
      </w:pPr>
      <w:bookmarkStart w:id="16" w:name="_Toc333477265"/>
      <w:r w:rsidRPr="007E709D">
        <w:lastRenderedPageBreak/>
        <w:t>Wsparcie osób bezrobotnych w ramach P</w:t>
      </w:r>
      <w:r w:rsidR="00FE4034">
        <w:t xml:space="preserve">rogramu </w:t>
      </w:r>
      <w:r w:rsidRPr="007E709D">
        <w:t>O</w:t>
      </w:r>
      <w:r w:rsidR="00FE4034">
        <w:t>peracyjnego</w:t>
      </w:r>
      <w:r w:rsidRPr="007E709D">
        <w:t xml:space="preserve"> K</w:t>
      </w:r>
      <w:r w:rsidR="00FE4034">
        <w:t xml:space="preserve">apitał </w:t>
      </w:r>
      <w:r w:rsidRPr="007E709D">
        <w:t>L</w:t>
      </w:r>
      <w:r w:rsidR="00FE4034">
        <w:t>udzki</w:t>
      </w:r>
      <w:bookmarkEnd w:id="16"/>
    </w:p>
    <w:p w:rsidR="003C3ADF" w:rsidRDefault="003C3ADF" w:rsidP="00F60D5B">
      <w:pPr>
        <w:spacing w:after="0"/>
      </w:pPr>
    </w:p>
    <w:p w:rsidR="00004E0C" w:rsidRDefault="00C57CE9" w:rsidP="00BF0939">
      <w:pPr>
        <w:autoSpaceDE w:val="0"/>
        <w:autoSpaceDN w:val="0"/>
        <w:adjustRightInd w:val="0"/>
        <w:spacing w:after="0" w:line="360" w:lineRule="auto"/>
        <w:ind w:firstLine="708"/>
        <w:jc w:val="both"/>
        <w:rPr>
          <w:rFonts w:ascii="Times New Roman" w:eastAsia="Times New Roman" w:hAnsi="Times New Roman" w:cs="Times New Roman"/>
          <w:spacing w:val="-4"/>
          <w:sz w:val="24"/>
          <w:szCs w:val="24"/>
          <w:lang w:eastAsia="pl-PL"/>
        </w:rPr>
      </w:pPr>
      <w:r>
        <w:rPr>
          <w:rFonts w:ascii="Times New Roman" w:eastAsia="Times New Roman" w:hAnsi="Times New Roman" w:cs="Times New Roman"/>
          <w:sz w:val="24"/>
          <w:szCs w:val="24"/>
          <w:lang w:eastAsia="pl-PL"/>
        </w:rPr>
        <w:t xml:space="preserve">Realizowany od 2007 roku </w:t>
      </w:r>
      <w:r w:rsidR="00004E0C" w:rsidRPr="00004E0C">
        <w:rPr>
          <w:rFonts w:ascii="Times New Roman" w:eastAsia="Times New Roman" w:hAnsi="Times New Roman" w:cs="Times New Roman"/>
          <w:sz w:val="24"/>
          <w:szCs w:val="24"/>
          <w:lang w:eastAsia="pl-PL"/>
        </w:rPr>
        <w:t xml:space="preserve">Program Operacyjny Kapitał Ludzki, jest największym </w:t>
      </w:r>
      <w:r>
        <w:rPr>
          <w:rFonts w:ascii="Times New Roman" w:eastAsia="Times New Roman" w:hAnsi="Times New Roman" w:cs="Times New Roman"/>
          <w:sz w:val="24"/>
          <w:szCs w:val="24"/>
          <w:lang w:eastAsia="pl-PL"/>
        </w:rPr>
        <w:br/>
      </w:r>
      <w:r w:rsidR="00004E0C" w:rsidRPr="00004E0C">
        <w:rPr>
          <w:rFonts w:ascii="Times New Roman" w:eastAsia="Times New Roman" w:hAnsi="Times New Roman" w:cs="Times New Roman"/>
          <w:sz w:val="24"/>
          <w:szCs w:val="24"/>
          <w:lang w:eastAsia="pl-PL"/>
        </w:rPr>
        <w:t>w historii Unii Europejskiej programem współfinansowanym z Europejskiego Funduszu Społecznego. N</w:t>
      </w:r>
      <w:r w:rsidR="00004E0C" w:rsidRPr="00004E0C">
        <w:rPr>
          <w:rFonts w:ascii="Times New Roman" w:eastAsia="Times New Roman" w:hAnsi="Times New Roman" w:cs="Times New Roman"/>
          <w:spacing w:val="-4"/>
          <w:sz w:val="24"/>
          <w:szCs w:val="24"/>
          <w:lang w:eastAsia="pl-PL"/>
        </w:rPr>
        <w:t>a jego realizację na lata 2007</w:t>
      </w:r>
      <w:r w:rsidR="00004E0C" w:rsidRPr="00004E0C">
        <w:rPr>
          <w:rFonts w:ascii="Times New Roman" w:eastAsia="Times New Roman" w:hAnsi="Times New Roman" w:cs="Times New Roman"/>
          <w:spacing w:val="-4"/>
          <w:sz w:val="24"/>
          <w:szCs w:val="24"/>
          <w:lang w:eastAsia="pl-PL"/>
        </w:rPr>
        <w:noBreakHyphen/>
        <w:t>2013 przeznaczono dla Polski blisko 11,8 mld euro.</w:t>
      </w:r>
    </w:p>
    <w:p w:rsidR="00004E0C" w:rsidRPr="00004E0C" w:rsidRDefault="00004E0C" w:rsidP="00BF0939">
      <w:p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pacing w:val="-4"/>
          <w:sz w:val="24"/>
          <w:szCs w:val="24"/>
          <w:lang w:eastAsia="pl-PL"/>
        </w:rPr>
        <w:tab/>
      </w:r>
      <w:r w:rsidRPr="00004E0C">
        <w:rPr>
          <w:rFonts w:ascii="Times New Roman" w:eastAsia="Times New Roman" w:hAnsi="Times New Roman" w:cs="Times New Roman"/>
          <w:bCs/>
          <w:sz w:val="24"/>
          <w:szCs w:val="24"/>
          <w:lang w:eastAsia="pl-PL"/>
        </w:rPr>
        <w:t xml:space="preserve">Celem głównym Programu Operacyjnego Kapitał Ludzki, jest wzrost zatrudnienia </w:t>
      </w:r>
      <w:r w:rsidR="00BF0939">
        <w:rPr>
          <w:rFonts w:ascii="Times New Roman" w:eastAsia="Times New Roman" w:hAnsi="Times New Roman" w:cs="Times New Roman"/>
          <w:bCs/>
          <w:sz w:val="24"/>
          <w:szCs w:val="24"/>
          <w:lang w:eastAsia="pl-PL"/>
        </w:rPr>
        <w:br/>
      </w:r>
      <w:r w:rsidRPr="00004E0C">
        <w:rPr>
          <w:rFonts w:ascii="Times New Roman" w:eastAsia="Times New Roman" w:hAnsi="Times New Roman" w:cs="Times New Roman"/>
          <w:bCs/>
          <w:sz w:val="24"/>
          <w:szCs w:val="24"/>
          <w:lang w:eastAsia="pl-PL"/>
        </w:rPr>
        <w:t xml:space="preserve">i spójności społecznej. </w:t>
      </w:r>
      <w:r w:rsidRPr="00004E0C">
        <w:rPr>
          <w:rFonts w:ascii="Times New Roman" w:eastAsia="Times New Roman" w:hAnsi="Times New Roman" w:cs="Times New Roman"/>
          <w:sz w:val="24"/>
          <w:szCs w:val="24"/>
          <w:lang w:eastAsia="pl-PL"/>
        </w:rPr>
        <w:t xml:space="preserve">Cel ten realizowany jest m.in. poprzez: </w:t>
      </w:r>
    </w:p>
    <w:p w:rsidR="00004E0C" w:rsidRPr="00004E0C" w:rsidRDefault="00004E0C" w:rsidP="00BF0939">
      <w:pPr>
        <w:numPr>
          <w:ilvl w:val="0"/>
          <w:numId w:val="16"/>
        </w:numPr>
        <w:spacing w:after="0" w:line="360" w:lineRule="auto"/>
        <w:jc w:val="both"/>
        <w:rPr>
          <w:rFonts w:ascii="Times New Roman" w:eastAsia="Times New Roman" w:hAnsi="Times New Roman" w:cs="Times New Roman"/>
          <w:sz w:val="24"/>
          <w:szCs w:val="24"/>
          <w:lang w:eastAsia="pl-PL"/>
        </w:rPr>
      </w:pPr>
      <w:r w:rsidRPr="00004E0C">
        <w:rPr>
          <w:rFonts w:ascii="Times New Roman" w:eastAsia="Times New Roman" w:hAnsi="Times New Roman" w:cs="Times New Roman"/>
          <w:sz w:val="24"/>
          <w:szCs w:val="24"/>
          <w:lang w:eastAsia="pl-PL"/>
        </w:rPr>
        <w:t>aktywizację zawodową;</w:t>
      </w:r>
    </w:p>
    <w:p w:rsidR="00004E0C" w:rsidRPr="00004E0C" w:rsidRDefault="00004E0C" w:rsidP="00BF0939">
      <w:pPr>
        <w:numPr>
          <w:ilvl w:val="0"/>
          <w:numId w:val="16"/>
        </w:numPr>
        <w:spacing w:after="0" w:line="360" w:lineRule="auto"/>
        <w:jc w:val="both"/>
        <w:rPr>
          <w:rFonts w:ascii="Times New Roman" w:eastAsia="Times New Roman" w:hAnsi="Times New Roman" w:cs="Times New Roman"/>
          <w:sz w:val="24"/>
          <w:szCs w:val="24"/>
          <w:lang w:eastAsia="pl-PL"/>
        </w:rPr>
      </w:pPr>
      <w:r w:rsidRPr="00004E0C">
        <w:rPr>
          <w:rFonts w:ascii="Times New Roman" w:eastAsia="Times New Roman" w:hAnsi="Times New Roman" w:cs="Times New Roman"/>
          <w:sz w:val="24"/>
          <w:szCs w:val="24"/>
          <w:lang w:eastAsia="pl-PL"/>
        </w:rPr>
        <w:t>rozwijanie potencjału adaptacyjnego przedsiębiorstw i ich pracowników;</w:t>
      </w:r>
    </w:p>
    <w:p w:rsidR="00004E0C" w:rsidRPr="00004E0C" w:rsidRDefault="00004E0C" w:rsidP="00BF0939">
      <w:pPr>
        <w:numPr>
          <w:ilvl w:val="0"/>
          <w:numId w:val="16"/>
        </w:numPr>
        <w:spacing w:after="0" w:line="360" w:lineRule="auto"/>
        <w:jc w:val="both"/>
        <w:rPr>
          <w:rFonts w:ascii="Times New Roman" w:eastAsia="Times New Roman" w:hAnsi="Times New Roman" w:cs="Times New Roman"/>
          <w:sz w:val="24"/>
          <w:szCs w:val="24"/>
          <w:lang w:eastAsia="pl-PL"/>
        </w:rPr>
      </w:pPr>
      <w:r w:rsidRPr="00004E0C">
        <w:rPr>
          <w:rFonts w:ascii="Times New Roman" w:eastAsia="Times New Roman" w:hAnsi="Times New Roman" w:cs="Times New Roman"/>
          <w:sz w:val="24"/>
          <w:szCs w:val="24"/>
          <w:lang w:eastAsia="pl-PL"/>
        </w:rPr>
        <w:t xml:space="preserve">podnoszenie poziomu wykształcenia społeczeństwa; </w:t>
      </w:r>
    </w:p>
    <w:p w:rsidR="00004E0C" w:rsidRPr="00004E0C" w:rsidRDefault="00004E0C" w:rsidP="00BF0939">
      <w:pPr>
        <w:numPr>
          <w:ilvl w:val="0"/>
          <w:numId w:val="16"/>
        </w:numPr>
        <w:spacing w:after="0" w:line="360" w:lineRule="auto"/>
        <w:jc w:val="both"/>
        <w:rPr>
          <w:rFonts w:ascii="Times New Roman" w:eastAsia="Times New Roman" w:hAnsi="Times New Roman" w:cs="Times New Roman"/>
          <w:spacing w:val="-4"/>
          <w:sz w:val="24"/>
          <w:szCs w:val="24"/>
          <w:lang w:eastAsia="pl-PL"/>
        </w:rPr>
      </w:pPr>
      <w:r w:rsidRPr="00004E0C">
        <w:rPr>
          <w:rFonts w:ascii="Times New Roman" w:eastAsia="Times New Roman" w:hAnsi="Times New Roman" w:cs="Times New Roman"/>
          <w:sz w:val="24"/>
          <w:szCs w:val="24"/>
          <w:lang w:eastAsia="pl-PL"/>
        </w:rPr>
        <w:t xml:space="preserve">zmniejszenie obszarów wykluczenia </w:t>
      </w:r>
      <w:r w:rsidRPr="00004E0C">
        <w:rPr>
          <w:rFonts w:ascii="Times New Roman" w:eastAsia="Times New Roman" w:hAnsi="Times New Roman" w:cs="Times New Roman"/>
          <w:spacing w:val="-4"/>
          <w:sz w:val="24"/>
          <w:szCs w:val="24"/>
          <w:lang w:eastAsia="pl-PL"/>
        </w:rPr>
        <w:t>społecznego;</w:t>
      </w:r>
    </w:p>
    <w:p w:rsidR="00004E0C" w:rsidRPr="00004E0C" w:rsidRDefault="00004E0C" w:rsidP="00BF0939">
      <w:pPr>
        <w:numPr>
          <w:ilvl w:val="0"/>
          <w:numId w:val="16"/>
        </w:numPr>
        <w:spacing w:after="0" w:line="360" w:lineRule="auto"/>
        <w:jc w:val="both"/>
        <w:rPr>
          <w:rFonts w:ascii="Times New Roman" w:eastAsia="Times New Roman" w:hAnsi="Times New Roman" w:cs="Times New Roman"/>
          <w:spacing w:val="-4"/>
          <w:sz w:val="24"/>
          <w:szCs w:val="24"/>
          <w:lang w:eastAsia="pl-PL"/>
        </w:rPr>
      </w:pPr>
      <w:r w:rsidRPr="00004E0C">
        <w:rPr>
          <w:rFonts w:ascii="Times New Roman" w:eastAsia="Times New Roman" w:hAnsi="Times New Roman" w:cs="Times New Roman"/>
          <w:spacing w:val="-4"/>
          <w:sz w:val="24"/>
          <w:szCs w:val="24"/>
          <w:lang w:eastAsia="pl-PL"/>
        </w:rPr>
        <w:t>wspieranie mechanizmów efektywnego zarządzania w administracji państwowej.</w:t>
      </w:r>
    </w:p>
    <w:p w:rsidR="00004E0C" w:rsidRDefault="00004E0C" w:rsidP="00BF0939">
      <w:pPr>
        <w:spacing w:after="0" w:line="360" w:lineRule="auto"/>
        <w:ind w:firstLine="708"/>
        <w:jc w:val="both"/>
        <w:rPr>
          <w:rFonts w:ascii="Times New Roman" w:eastAsia="Times New Roman" w:hAnsi="Times New Roman" w:cs="Times New Roman"/>
          <w:sz w:val="24"/>
          <w:szCs w:val="24"/>
          <w:lang w:eastAsia="pl-PL"/>
        </w:rPr>
      </w:pPr>
      <w:r w:rsidRPr="00004E0C">
        <w:rPr>
          <w:rFonts w:ascii="Times New Roman" w:eastAsia="Times New Roman" w:hAnsi="Times New Roman" w:cs="Times New Roman"/>
          <w:spacing w:val="-4"/>
          <w:sz w:val="24"/>
          <w:szCs w:val="24"/>
          <w:lang w:eastAsia="pl-PL"/>
        </w:rPr>
        <w:t>Program składa się z dziesięciu Priorytetów, realizowanych równolegle na poziomie centralnym</w:t>
      </w:r>
      <w:r w:rsidRPr="00004E0C">
        <w:rPr>
          <w:rFonts w:ascii="Times New Roman" w:eastAsia="Times New Roman" w:hAnsi="Times New Roman" w:cs="Times New Roman"/>
          <w:sz w:val="24"/>
          <w:szCs w:val="24"/>
          <w:lang w:eastAsia="pl-PL"/>
        </w:rPr>
        <w:t xml:space="preserve"> i regionalnym. Około 69% środków Programu stanowi tzw. komponent regionalny (Priorytety VI-X), w którym wsparcie realizowane jest przez poszczególne </w:t>
      </w:r>
      <w:r w:rsidRPr="00004E0C">
        <w:rPr>
          <w:rFonts w:ascii="Times New Roman" w:eastAsia="Times New Roman" w:hAnsi="Times New Roman" w:cs="Times New Roman"/>
          <w:spacing w:val="-4"/>
          <w:sz w:val="24"/>
          <w:szCs w:val="24"/>
          <w:lang w:eastAsia="pl-PL"/>
        </w:rPr>
        <w:t>regiony. Pozostałe 31% środków, wdrażane jest sektorowo w ramach tzw. komponentu centralnego.</w:t>
      </w:r>
      <w:r w:rsidRPr="00004E0C">
        <w:rPr>
          <w:rFonts w:ascii="Times New Roman" w:eastAsia="Times New Roman" w:hAnsi="Times New Roman" w:cs="Times New Roman"/>
          <w:sz w:val="24"/>
          <w:szCs w:val="24"/>
          <w:lang w:eastAsia="pl-PL"/>
        </w:rPr>
        <w:t xml:space="preserve"> </w:t>
      </w:r>
    </w:p>
    <w:p w:rsidR="00004E0C" w:rsidRPr="00004E0C" w:rsidRDefault="00004E0C" w:rsidP="00BF0939">
      <w:pPr>
        <w:autoSpaceDE w:val="0"/>
        <w:autoSpaceDN w:val="0"/>
        <w:adjustRightInd w:val="0"/>
        <w:spacing w:after="0" w:line="360" w:lineRule="auto"/>
        <w:ind w:left="1440" w:hanging="732"/>
        <w:jc w:val="both"/>
        <w:rPr>
          <w:rFonts w:ascii="Times New Roman" w:eastAsia="Times New Roman" w:hAnsi="Times New Roman" w:cs="Times New Roman"/>
          <w:sz w:val="24"/>
          <w:szCs w:val="24"/>
          <w:lang w:eastAsia="pl-PL"/>
        </w:rPr>
      </w:pPr>
      <w:r w:rsidRPr="00004E0C">
        <w:rPr>
          <w:rFonts w:ascii="Times New Roman" w:eastAsia="Times New Roman" w:hAnsi="Times New Roman" w:cs="Times New Roman"/>
          <w:sz w:val="24"/>
          <w:szCs w:val="24"/>
          <w:lang w:eastAsia="pl-PL"/>
        </w:rPr>
        <w:t>Priorytety realizowane centralnie to:</w:t>
      </w:r>
    </w:p>
    <w:p w:rsidR="00004E0C" w:rsidRPr="00004E0C" w:rsidRDefault="00004E0C" w:rsidP="00BF0939">
      <w:pPr>
        <w:autoSpaceDE w:val="0"/>
        <w:autoSpaceDN w:val="0"/>
        <w:adjustRightInd w:val="0"/>
        <w:spacing w:after="0" w:line="360" w:lineRule="auto"/>
        <w:ind w:left="1440" w:hanging="1440"/>
        <w:jc w:val="both"/>
        <w:rPr>
          <w:rFonts w:ascii="Times New Roman" w:eastAsia="Times New Roman" w:hAnsi="Times New Roman" w:cs="Times New Roman"/>
          <w:sz w:val="24"/>
          <w:szCs w:val="24"/>
          <w:lang w:eastAsia="pl-PL"/>
        </w:rPr>
      </w:pPr>
      <w:r w:rsidRPr="00004E0C">
        <w:rPr>
          <w:rFonts w:ascii="Times New Roman" w:eastAsia="Times New Roman" w:hAnsi="Times New Roman" w:cs="Times New Roman"/>
          <w:sz w:val="24"/>
          <w:szCs w:val="24"/>
          <w:lang w:eastAsia="pl-PL"/>
        </w:rPr>
        <w:t>Priorytet I</w:t>
      </w:r>
      <w:r w:rsidRPr="00004E0C">
        <w:rPr>
          <w:rFonts w:ascii="Times New Roman" w:eastAsia="Times New Roman" w:hAnsi="Times New Roman" w:cs="Times New Roman"/>
          <w:sz w:val="24"/>
          <w:szCs w:val="24"/>
          <w:lang w:eastAsia="pl-PL"/>
        </w:rPr>
        <w:tab/>
        <w:t>Zatrudnienie i integracja społeczna</w:t>
      </w:r>
    </w:p>
    <w:p w:rsidR="00004E0C" w:rsidRPr="00004E0C" w:rsidRDefault="00004E0C" w:rsidP="00BF0939">
      <w:pPr>
        <w:autoSpaceDE w:val="0"/>
        <w:autoSpaceDN w:val="0"/>
        <w:adjustRightInd w:val="0"/>
        <w:spacing w:after="0" w:line="360" w:lineRule="auto"/>
        <w:ind w:left="1440" w:hanging="1440"/>
        <w:jc w:val="both"/>
        <w:rPr>
          <w:rFonts w:ascii="Times New Roman" w:eastAsia="Times New Roman" w:hAnsi="Times New Roman" w:cs="Times New Roman"/>
          <w:sz w:val="24"/>
          <w:szCs w:val="24"/>
          <w:lang w:eastAsia="pl-PL"/>
        </w:rPr>
      </w:pPr>
      <w:r w:rsidRPr="00004E0C">
        <w:rPr>
          <w:rFonts w:ascii="Times New Roman" w:eastAsia="Times New Roman" w:hAnsi="Times New Roman" w:cs="Times New Roman"/>
          <w:sz w:val="24"/>
          <w:szCs w:val="24"/>
          <w:lang w:eastAsia="pl-PL"/>
        </w:rPr>
        <w:t>Priorytet II</w:t>
      </w:r>
      <w:r w:rsidRPr="00004E0C">
        <w:rPr>
          <w:rFonts w:ascii="Times New Roman" w:eastAsia="Times New Roman" w:hAnsi="Times New Roman" w:cs="Times New Roman"/>
          <w:sz w:val="24"/>
          <w:szCs w:val="24"/>
          <w:lang w:eastAsia="pl-PL"/>
        </w:rPr>
        <w:tab/>
        <w:t xml:space="preserve">Rozwój zasobów ludzkich i potencjału adaptacyjnego przedsiębiorstw </w:t>
      </w:r>
      <w:r w:rsidRPr="00004E0C">
        <w:rPr>
          <w:rFonts w:ascii="Times New Roman" w:eastAsia="Times New Roman" w:hAnsi="Times New Roman" w:cs="Times New Roman"/>
          <w:sz w:val="24"/>
          <w:szCs w:val="24"/>
          <w:lang w:eastAsia="pl-PL"/>
        </w:rPr>
        <w:br/>
        <w:t>oraz poprawa stanu zdrowia osób pracujących</w:t>
      </w:r>
    </w:p>
    <w:p w:rsidR="00004E0C" w:rsidRPr="00004E0C" w:rsidRDefault="00004E0C" w:rsidP="00BF0939">
      <w:pPr>
        <w:autoSpaceDE w:val="0"/>
        <w:autoSpaceDN w:val="0"/>
        <w:adjustRightInd w:val="0"/>
        <w:spacing w:after="0" w:line="360" w:lineRule="auto"/>
        <w:ind w:left="1440" w:hanging="1440"/>
        <w:jc w:val="both"/>
        <w:rPr>
          <w:rFonts w:ascii="Times New Roman" w:eastAsia="Times New Roman" w:hAnsi="Times New Roman" w:cs="Times New Roman"/>
          <w:sz w:val="24"/>
          <w:szCs w:val="24"/>
          <w:lang w:eastAsia="pl-PL"/>
        </w:rPr>
      </w:pPr>
      <w:r w:rsidRPr="00004E0C">
        <w:rPr>
          <w:rFonts w:ascii="Times New Roman" w:eastAsia="Times New Roman" w:hAnsi="Times New Roman" w:cs="Times New Roman"/>
          <w:sz w:val="24"/>
          <w:szCs w:val="24"/>
          <w:lang w:eastAsia="pl-PL"/>
        </w:rPr>
        <w:t>Priorytet III</w:t>
      </w:r>
      <w:r w:rsidRPr="00004E0C">
        <w:rPr>
          <w:rFonts w:ascii="Times New Roman" w:eastAsia="Times New Roman" w:hAnsi="Times New Roman" w:cs="Times New Roman"/>
          <w:sz w:val="24"/>
          <w:szCs w:val="24"/>
          <w:lang w:eastAsia="pl-PL"/>
        </w:rPr>
        <w:tab/>
        <w:t>Wysoka jakość systemu oświaty</w:t>
      </w:r>
    </w:p>
    <w:p w:rsidR="00004E0C" w:rsidRPr="00004E0C" w:rsidRDefault="00004E0C" w:rsidP="00BF0939">
      <w:pPr>
        <w:autoSpaceDE w:val="0"/>
        <w:autoSpaceDN w:val="0"/>
        <w:adjustRightInd w:val="0"/>
        <w:spacing w:after="0" w:line="360" w:lineRule="auto"/>
        <w:ind w:left="1440" w:hanging="1440"/>
        <w:jc w:val="both"/>
        <w:rPr>
          <w:rFonts w:ascii="Times New Roman" w:eastAsia="Times New Roman" w:hAnsi="Times New Roman" w:cs="Times New Roman"/>
          <w:sz w:val="24"/>
          <w:szCs w:val="24"/>
          <w:lang w:eastAsia="pl-PL"/>
        </w:rPr>
      </w:pPr>
      <w:r w:rsidRPr="00004E0C">
        <w:rPr>
          <w:rFonts w:ascii="Times New Roman" w:eastAsia="Times New Roman" w:hAnsi="Times New Roman" w:cs="Times New Roman"/>
          <w:sz w:val="24"/>
          <w:szCs w:val="24"/>
          <w:lang w:eastAsia="pl-PL"/>
        </w:rPr>
        <w:t>Priorytet IV</w:t>
      </w:r>
      <w:r w:rsidRPr="00004E0C">
        <w:rPr>
          <w:rFonts w:ascii="Times New Roman" w:eastAsia="Times New Roman" w:hAnsi="Times New Roman" w:cs="Times New Roman"/>
          <w:sz w:val="24"/>
          <w:szCs w:val="24"/>
          <w:lang w:eastAsia="pl-PL"/>
        </w:rPr>
        <w:tab/>
        <w:t>Szkolnictwo wyższe i nauka</w:t>
      </w:r>
    </w:p>
    <w:p w:rsidR="00004E0C" w:rsidRPr="00004E0C" w:rsidRDefault="00004E0C" w:rsidP="00BF0939">
      <w:pPr>
        <w:autoSpaceDE w:val="0"/>
        <w:autoSpaceDN w:val="0"/>
        <w:adjustRightInd w:val="0"/>
        <w:spacing w:after="0" w:line="360" w:lineRule="auto"/>
        <w:ind w:left="1440" w:hanging="1440"/>
        <w:jc w:val="both"/>
        <w:rPr>
          <w:rFonts w:ascii="Times New Roman" w:eastAsia="Times New Roman" w:hAnsi="Times New Roman" w:cs="Times New Roman"/>
          <w:sz w:val="24"/>
          <w:szCs w:val="24"/>
          <w:lang w:eastAsia="pl-PL"/>
        </w:rPr>
      </w:pPr>
      <w:r w:rsidRPr="00004E0C">
        <w:rPr>
          <w:rFonts w:ascii="Times New Roman" w:eastAsia="Times New Roman" w:hAnsi="Times New Roman" w:cs="Times New Roman"/>
          <w:sz w:val="24"/>
          <w:szCs w:val="24"/>
          <w:lang w:eastAsia="pl-PL"/>
        </w:rPr>
        <w:t>Priorytet V</w:t>
      </w:r>
      <w:r w:rsidRPr="00004E0C">
        <w:rPr>
          <w:rFonts w:ascii="Times New Roman" w:eastAsia="Times New Roman" w:hAnsi="Times New Roman" w:cs="Times New Roman"/>
          <w:sz w:val="24"/>
          <w:szCs w:val="24"/>
          <w:lang w:eastAsia="pl-PL"/>
        </w:rPr>
        <w:tab/>
        <w:t>Dobre rządzenie</w:t>
      </w:r>
    </w:p>
    <w:p w:rsidR="00004E0C" w:rsidRPr="00004E0C" w:rsidRDefault="00004E0C" w:rsidP="00BF0939">
      <w:pPr>
        <w:autoSpaceDE w:val="0"/>
        <w:autoSpaceDN w:val="0"/>
        <w:adjustRightInd w:val="0"/>
        <w:spacing w:after="0" w:line="360" w:lineRule="auto"/>
        <w:ind w:left="1440" w:hanging="732"/>
        <w:jc w:val="both"/>
        <w:rPr>
          <w:rFonts w:ascii="Times New Roman" w:eastAsia="Times New Roman" w:hAnsi="Times New Roman" w:cs="Times New Roman"/>
          <w:sz w:val="24"/>
          <w:szCs w:val="24"/>
          <w:lang w:eastAsia="pl-PL"/>
        </w:rPr>
      </w:pPr>
      <w:r w:rsidRPr="00004E0C">
        <w:rPr>
          <w:rFonts w:ascii="Times New Roman" w:eastAsia="Times New Roman" w:hAnsi="Times New Roman" w:cs="Times New Roman"/>
          <w:sz w:val="24"/>
          <w:szCs w:val="24"/>
          <w:lang w:eastAsia="pl-PL"/>
        </w:rPr>
        <w:t>Priorytety realizowane na szczeblu regionalnym to:</w:t>
      </w:r>
    </w:p>
    <w:p w:rsidR="00004E0C" w:rsidRPr="00004E0C" w:rsidRDefault="00004E0C" w:rsidP="00BF0939">
      <w:pPr>
        <w:autoSpaceDE w:val="0"/>
        <w:autoSpaceDN w:val="0"/>
        <w:adjustRightInd w:val="0"/>
        <w:spacing w:after="0" w:line="360" w:lineRule="auto"/>
        <w:ind w:left="1440" w:hanging="1440"/>
        <w:jc w:val="both"/>
        <w:rPr>
          <w:rFonts w:ascii="Times New Roman" w:eastAsia="Times New Roman" w:hAnsi="Times New Roman" w:cs="Times New Roman"/>
          <w:sz w:val="24"/>
          <w:szCs w:val="24"/>
          <w:lang w:eastAsia="pl-PL"/>
        </w:rPr>
      </w:pPr>
      <w:r w:rsidRPr="00004E0C">
        <w:rPr>
          <w:rFonts w:ascii="Times New Roman" w:eastAsia="Times New Roman" w:hAnsi="Times New Roman" w:cs="Times New Roman"/>
          <w:sz w:val="24"/>
          <w:szCs w:val="24"/>
          <w:lang w:eastAsia="pl-PL"/>
        </w:rPr>
        <w:t>Priorytet VI</w:t>
      </w:r>
      <w:r w:rsidRPr="00004E0C">
        <w:rPr>
          <w:rFonts w:ascii="Times New Roman" w:eastAsia="Times New Roman" w:hAnsi="Times New Roman" w:cs="Times New Roman"/>
          <w:sz w:val="24"/>
          <w:szCs w:val="24"/>
          <w:lang w:eastAsia="pl-PL"/>
        </w:rPr>
        <w:tab/>
        <w:t>Rynek pracy otwarty dla wszystkich</w:t>
      </w:r>
    </w:p>
    <w:p w:rsidR="00004E0C" w:rsidRPr="00004E0C" w:rsidRDefault="00004E0C" w:rsidP="00BF0939">
      <w:pPr>
        <w:autoSpaceDE w:val="0"/>
        <w:autoSpaceDN w:val="0"/>
        <w:adjustRightInd w:val="0"/>
        <w:spacing w:after="0" w:line="360" w:lineRule="auto"/>
        <w:ind w:left="1440" w:hanging="1440"/>
        <w:jc w:val="both"/>
        <w:rPr>
          <w:rFonts w:ascii="Times New Roman" w:eastAsia="Times New Roman" w:hAnsi="Times New Roman" w:cs="Times New Roman"/>
          <w:sz w:val="24"/>
          <w:szCs w:val="24"/>
          <w:lang w:eastAsia="pl-PL"/>
        </w:rPr>
      </w:pPr>
      <w:r w:rsidRPr="00004E0C">
        <w:rPr>
          <w:rFonts w:ascii="Times New Roman" w:eastAsia="Times New Roman" w:hAnsi="Times New Roman" w:cs="Times New Roman"/>
          <w:sz w:val="24"/>
          <w:szCs w:val="24"/>
          <w:lang w:eastAsia="pl-PL"/>
        </w:rPr>
        <w:t>Priorytet VII</w:t>
      </w:r>
      <w:r w:rsidRPr="00004E0C">
        <w:rPr>
          <w:rFonts w:ascii="Times New Roman" w:eastAsia="Times New Roman" w:hAnsi="Times New Roman" w:cs="Times New Roman"/>
          <w:sz w:val="24"/>
          <w:szCs w:val="24"/>
          <w:lang w:eastAsia="pl-PL"/>
        </w:rPr>
        <w:tab/>
        <w:t>Promocja integracji społecznej</w:t>
      </w:r>
    </w:p>
    <w:p w:rsidR="00004E0C" w:rsidRPr="00004E0C" w:rsidRDefault="00004E0C" w:rsidP="00BF0939">
      <w:pPr>
        <w:autoSpaceDE w:val="0"/>
        <w:autoSpaceDN w:val="0"/>
        <w:adjustRightInd w:val="0"/>
        <w:spacing w:after="0" w:line="360" w:lineRule="auto"/>
        <w:ind w:left="1440" w:hanging="1440"/>
        <w:jc w:val="both"/>
        <w:rPr>
          <w:rFonts w:ascii="Times New Roman" w:eastAsia="Times New Roman" w:hAnsi="Times New Roman" w:cs="Times New Roman"/>
          <w:sz w:val="24"/>
          <w:szCs w:val="24"/>
          <w:lang w:eastAsia="pl-PL"/>
        </w:rPr>
      </w:pPr>
      <w:r w:rsidRPr="00004E0C">
        <w:rPr>
          <w:rFonts w:ascii="Times New Roman" w:eastAsia="Times New Roman" w:hAnsi="Times New Roman" w:cs="Times New Roman"/>
          <w:spacing w:val="-4"/>
          <w:sz w:val="24"/>
          <w:szCs w:val="24"/>
          <w:lang w:eastAsia="pl-PL"/>
        </w:rPr>
        <w:t>Priorytet VIII</w:t>
      </w:r>
      <w:r w:rsidRPr="00004E0C">
        <w:rPr>
          <w:rFonts w:ascii="Times New Roman" w:eastAsia="Times New Roman" w:hAnsi="Times New Roman" w:cs="Times New Roman"/>
          <w:spacing w:val="-4"/>
          <w:sz w:val="24"/>
          <w:szCs w:val="24"/>
          <w:lang w:eastAsia="pl-PL"/>
        </w:rPr>
        <w:tab/>
      </w:r>
      <w:r w:rsidRPr="00004E0C">
        <w:rPr>
          <w:rFonts w:ascii="Times New Roman" w:eastAsia="Times New Roman" w:hAnsi="Times New Roman" w:cs="Times New Roman"/>
          <w:sz w:val="24"/>
          <w:szCs w:val="24"/>
          <w:lang w:eastAsia="pl-PL"/>
        </w:rPr>
        <w:t>Regionalne kadry gospodarki</w:t>
      </w:r>
    </w:p>
    <w:p w:rsidR="00004E0C" w:rsidRPr="00004E0C" w:rsidRDefault="00004E0C" w:rsidP="00BF0939">
      <w:pPr>
        <w:autoSpaceDE w:val="0"/>
        <w:autoSpaceDN w:val="0"/>
        <w:adjustRightInd w:val="0"/>
        <w:spacing w:after="0" w:line="360" w:lineRule="auto"/>
        <w:ind w:left="1440" w:hanging="1440"/>
        <w:jc w:val="both"/>
        <w:rPr>
          <w:rFonts w:ascii="Times New Roman" w:eastAsia="Times New Roman" w:hAnsi="Times New Roman" w:cs="Times New Roman"/>
          <w:sz w:val="24"/>
          <w:szCs w:val="24"/>
          <w:lang w:eastAsia="pl-PL"/>
        </w:rPr>
      </w:pPr>
      <w:r w:rsidRPr="00004E0C">
        <w:rPr>
          <w:rFonts w:ascii="Times New Roman" w:eastAsia="Times New Roman" w:hAnsi="Times New Roman" w:cs="Times New Roman"/>
          <w:sz w:val="24"/>
          <w:szCs w:val="24"/>
          <w:lang w:eastAsia="pl-PL"/>
        </w:rPr>
        <w:t>Priorytet IX</w:t>
      </w:r>
      <w:r w:rsidRPr="00004E0C">
        <w:rPr>
          <w:rFonts w:ascii="Times New Roman" w:eastAsia="Times New Roman" w:hAnsi="Times New Roman" w:cs="Times New Roman"/>
          <w:sz w:val="24"/>
          <w:szCs w:val="24"/>
          <w:lang w:eastAsia="pl-PL"/>
        </w:rPr>
        <w:tab/>
        <w:t>Rozwój wykształcenia i kompetencji w regionach</w:t>
      </w:r>
    </w:p>
    <w:p w:rsidR="00004E0C" w:rsidRPr="00004E0C" w:rsidRDefault="00004E0C" w:rsidP="00BF0939">
      <w:pPr>
        <w:autoSpaceDE w:val="0"/>
        <w:autoSpaceDN w:val="0"/>
        <w:adjustRightInd w:val="0"/>
        <w:spacing w:after="0" w:line="360" w:lineRule="auto"/>
        <w:ind w:left="1440" w:hanging="1440"/>
        <w:jc w:val="both"/>
        <w:rPr>
          <w:rFonts w:ascii="Times New Roman" w:eastAsia="Times New Roman" w:hAnsi="Times New Roman" w:cs="Times New Roman"/>
          <w:sz w:val="24"/>
          <w:szCs w:val="24"/>
          <w:lang w:eastAsia="pl-PL"/>
        </w:rPr>
      </w:pPr>
      <w:r w:rsidRPr="00004E0C">
        <w:rPr>
          <w:rFonts w:ascii="Times New Roman" w:eastAsia="Times New Roman" w:hAnsi="Times New Roman" w:cs="Times New Roman"/>
          <w:sz w:val="24"/>
          <w:szCs w:val="24"/>
          <w:lang w:eastAsia="pl-PL"/>
        </w:rPr>
        <w:t>Priorytet X</w:t>
      </w:r>
      <w:r w:rsidRPr="00004E0C">
        <w:rPr>
          <w:rFonts w:ascii="Times New Roman" w:eastAsia="Times New Roman" w:hAnsi="Times New Roman" w:cs="Times New Roman"/>
          <w:sz w:val="24"/>
          <w:szCs w:val="24"/>
          <w:lang w:eastAsia="pl-PL"/>
        </w:rPr>
        <w:tab/>
        <w:t xml:space="preserve">Pomoc Techniczna </w:t>
      </w:r>
    </w:p>
    <w:p w:rsidR="00252BFF" w:rsidRDefault="00BF0939" w:rsidP="00BF093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W </w:t>
      </w:r>
      <w:r w:rsidR="00511D4C">
        <w:rPr>
          <w:rFonts w:ascii="Times New Roman" w:hAnsi="Times New Roman" w:cs="Times New Roman"/>
          <w:sz w:val="24"/>
          <w:szCs w:val="24"/>
        </w:rPr>
        <w:t>województwie w</w:t>
      </w:r>
      <w:r>
        <w:rPr>
          <w:rFonts w:ascii="Times New Roman" w:hAnsi="Times New Roman" w:cs="Times New Roman"/>
          <w:sz w:val="24"/>
          <w:szCs w:val="24"/>
        </w:rPr>
        <w:t xml:space="preserve">ielkopolskim, </w:t>
      </w:r>
      <w:r w:rsidRPr="00BF0939">
        <w:rPr>
          <w:rFonts w:ascii="Times New Roman" w:hAnsi="Times New Roman" w:cs="Times New Roman"/>
          <w:sz w:val="24"/>
          <w:szCs w:val="24"/>
        </w:rPr>
        <w:t>rolę Instytucji Pośredniczącej dla Priorytetów komponentu regionalnego PO KL, pełni Wojewódzki Urząd Pracy w Poznaniu.</w:t>
      </w:r>
      <w:r>
        <w:rPr>
          <w:rFonts w:ascii="Times New Roman" w:hAnsi="Times New Roman" w:cs="Times New Roman"/>
          <w:sz w:val="24"/>
          <w:szCs w:val="24"/>
        </w:rPr>
        <w:t xml:space="preserve"> </w:t>
      </w:r>
      <w:r w:rsidRPr="00BF0939">
        <w:rPr>
          <w:rFonts w:ascii="Times New Roman" w:hAnsi="Times New Roman" w:cs="Times New Roman"/>
          <w:sz w:val="24"/>
          <w:szCs w:val="24"/>
        </w:rPr>
        <w:t>Wielkopolska w latach 2007-2013, na realizację komponentu regionalnego, otrzymała kwotę 625 277 794 euro.</w:t>
      </w:r>
    </w:p>
    <w:p w:rsidR="00F60D5B" w:rsidRDefault="00F60D5B" w:rsidP="00F60D5B">
      <w:pPr>
        <w:spacing w:after="0" w:line="360" w:lineRule="auto"/>
        <w:ind w:firstLine="567"/>
        <w:jc w:val="both"/>
        <w:rPr>
          <w:rFonts w:ascii="Times New Roman" w:hAnsi="Times New Roman" w:cs="Times New Roman"/>
          <w:sz w:val="24"/>
          <w:szCs w:val="24"/>
        </w:rPr>
      </w:pPr>
      <w:r w:rsidRPr="00F60D5B">
        <w:rPr>
          <w:rFonts w:ascii="Times New Roman" w:hAnsi="Times New Roman" w:cs="Times New Roman"/>
          <w:sz w:val="24"/>
          <w:szCs w:val="24"/>
        </w:rPr>
        <w:lastRenderedPageBreak/>
        <w:t xml:space="preserve">Wiele działań Programu Operacyjnego Kapitał Ludzki adresowano do osób poniżej 25/30 oraz powyżej 45/50 roku życia. </w:t>
      </w:r>
    </w:p>
    <w:p w:rsidR="00F77D40" w:rsidRPr="00F60D5B" w:rsidRDefault="00F60D5B" w:rsidP="00F60D5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Osoby młode mogą</w:t>
      </w:r>
      <w:r w:rsidR="003B3D53">
        <w:rPr>
          <w:rFonts w:ascii="Times New Roman" w:hAnsi="Times New Roman" w:cs="Times New Roman"/>
          <w:sz w:val="24"/>
          <w:szCs w:val="24"/>
        </w:rPr>
        <w:t xml:space="preserve"> między innymi</w:t>
      </w:r>
      <w:r>
        <w:rPr>
          <w:rFonts w:ascii="Times New Roman" w:hAnsi="Times New Roman" w:cs="Times New Roman"/>
          <w:sz w:val="24"/>
          <w:szCs w:val="24"/>
        </w:rPr>
        <w:t xml:space="preserve">, dzięki środkom Europejskiego Funduszu Społecznego, rozwijać swoje zainteresowania, pozyskać </w:t>
      </w:r>
      <w:r w:rsidR="00391B5A">
        <w:rPr>
          <w:rFonts w:ascii="Times New Roman" w:hAnsi="Times New Roman" w:cs="Times New Roman"/>
          <w:sz w:val="24"/>
          <w:szCs w:val="24"/>
        </w:rPr>
        <w:t xml:space="preserve">poprzez udział w szkoleniach, </w:t>
      </w:r>
      <w:r>
        <w:rPr>
          <w:rFonts w:ascii="Times New Roman" w:hAnsi="Times New Roman" w:cs="Times New Roman"/>
          <w:sz w:val="24"/>
          <w:szCs w:val="24"/>
        </w:rPr>
        <w:t xml:space="preserve">umiejętności niezbędne w znalezieniu pracy, odbyć staż w zakładzie pracy czy </w:t>
      </w:r>
      <w:r w:rsidR="00391B5A">
        <w:rPr>
          <w:rFonts w:ascii="Times New Roman" w:hAnsi="Times New Roman" w:cs="Times New Roman"/>
          <w:sz w:val="24"/>
          <w:szCs w:val="24"/>
        </w:rPr>
        <w:t>rozpocząć działalność gospodarczą</w:t>
      </w:r>
      <w:r>
        <w:rPr>
          <w:rFonts w:ascii="Times New Roman" w:hAnsi="Times New Roman" w:cs="Times New Roman"/>
          <w:sz w:val="24"/>
          <w:szCs w:val="24"/>
        </w:rPr>
        <w:t>.</w:t>
      </w:r>
      <w:r w:rsidR="00391B5A">
        <w:rPr>
          <w:rFonts w:ascii="Times New Roman" w:hAnsi="Times New Roman" w:cs="Times New Roman"/>
          <w:sz w:val="24"/>
          <w:szCs w:val="24"/>
        </w:rPr>
        <w:t xml:space="preserve"> </w:t>
      </w:r>
    </w:p>
    <w:p w:rsidR="00F77D40" w:rsidRPr="00D01619" w:rsidRDefault="00D01619" w:rsidP="00D01619">
      <w:pPr>
        <w:spacing w:line="360" w:lineRule="auto"/>
        <w:jc w:val="both"/>
        <w:rPr>
          <w:rFonts w:ascii="Times New Roman" w:hAnsi="Times New Roman" w:cs="Times New Roman"/>
          <w:sz w:val="24"/>
          <w:szCs w:val="24"/>
        </w:rPr>
      </w:pPr>
      <w:r>
        <w:rPr>
          <w:rFonts w:ascii="Times New Roman" w:hAnsi="Times New Roman" w:cs="Times New Roman"/>
          <w:sz w:val="16"/>
          <w:szCs w:val="16"/>
        </w:rPr>
        <w:tab/>
      </w:r>
      <w:r>
        <w:rPr>
          <w:rFonts w:ascii="Times New Roman" w:hAnsi="Times New Roman" w:cs="Times New Roman"/>
          <w:sz w:val="24"/>
          <w:szCs w:val="24"/>
        </w:rPr>
        <w:t>Szczegółowe dane dotyczące osób bezrobotnych w wieku poniżej 30 roku</w:t>
      </w:r>
      <w:r w:rsidR="0081175F">
        <w:rPr>
          <w:rFonts w:ascii="Times New Roman" w:hAnsi="Times New Roman" w:cs="Times New Roman"/>
          <w:sz w:val="24"/>
          <w:szCs w:val="24"/>
        </w:rPr>
        <w:t xml:space="preserve"> życia</w:t>
      </w:r>
      <w:r>
        <w:rPr>
          <w:rFonts w:ascii="Times New Roman" w:hAnsi="Times New Roman" w:cs="Times New Roman"/>
          <w:sz w:val="24"/>
          <w:szCs w:val="24"/>
        </w:rPr>
        <w:t>, które rozpoczęły udział w projektach w ramach poszczególnych Działań i Poddziałań PO KL</w:t>
      </w:r>
      <w:r w:rsidR="0081175F">
        <w:rPr>
          <w:rFonts w:ascii="Times New Roman" w:hAnsi="Times New Roman" w:cs="Times New Roman"/>
          <w:sz w:val="24"/>
          <w:szCs w:val="24"/>
        </w:rPr>
        <w:t xml:space="preserve">, </w:t>
      </w:r>
      <w:r w:rsidR="0081175F">
        <w:rPr>
          <w:rFonts w:ascii="Times New Roman" w:hAnsi="Times New Roman" w:cs="Times New Roman"/>
          <w:sz w:val="24"/>
          <w:szCs w:val="24"/>
        </w:rPr>
        <w:br/>
        <w:t>w latach 2009-2011,</w:t>
      </w:r>
      <w:r>
        <w:rPr>
          <w:rFonts w:ascii="Times New Roman" w:hAnsi="Times New Roman" w:cs="Times New Roman"/>
          <w:sz w:val="24"/>
          <w:szCs w:val="24"/>
        </w:rPr>
        <w:t xml:space="preserve"> prezentuje Tabela 1.</w:t>
      </w:r>
    </w:p>
    <w:p w:rsidR="00391B5A" w:rsidRPr="004B675C" w:rsidRDefault="00391B5A" w:rsidP="008446BD">
      <w:pPr>
        <w:spacing w:line="240" w:lineRule="auto"/>
        <w:jc w:val="both"/>
        <w:rPr>
          <w:rFonts w:ascii="Times New Roman" w:hAnsi="Times New Roman" w:cs="Times New Roman"/>
          <w:sz w:val="16"/>
          <w:szCs w:val="16"/>
        </w:rPr>
      </w:pPr>
    </w:p>
    <w:p w:rsidR="003C3ADF" w:rsidRDefault="00C127D6" w:rsidP="003C3ADF">
      <w:r>
        <w:t>Tabela 1. Liczba osób bezrobotnych w wieku 18-30 lat, które w latach 2009-2011 rozpoczęły udział w projektach</w:t>
      </w:r>
      <w:r w:rsidR="006070F7">
        <w:t xml:space="preserve"> w ramach PO KL</w:t>
      </w:r>
      <w:r w:rsidR="001C6EE1">
        <w:t>*</w:t>
      </w:r>
    </w:p>
    <w:tbl>
      <w:tblPr>
        <w:tblW w:w="10320" w:type="dxa"/>
        <w:tblInd w:w="-356" w:type="dxa"/>
        <w:tblCellMar>
          <w:left w:w="70" w:type="dxa"/>
          <w:right w:w="70" w:type="dxa"/>
        </w:tblCellMar>
        <w:tblLook w:val="04A0" w:firstRow="1" w:lastRow="0" w:firstColumn="1" w:lastColumn="0" w:noHBand="0" w:noVBand="1"/>
      </w:tblPr>
      <w:tblGrid>
        <w:gridCol w:w="1400"/>
        <w:gridCol w:w="1294"/>
        <w:gridCol w:w="1546"/>
        <w:gridCol w:w="1460"/>
        <w:gridCol w:w="1580"/>
        <w:gridCol w:w="1460"/>
        <w:gridCol w:w="1580"/>
      </w:tblGrid>
      <w:tr w:rsidR="009C489F" w:rsidRPr="009C489F" w:rsidTr="009C489F">
        <w:trPr>
          <w:trHeight w:val="345"/>
        </w:trPr>
        <w:tc>
          <w:tcPr>
            <w:tcW w:w="1400" w:type="dxa"/>
            <w:vMerge w:val="restart"/>
            <w:tcBorders>
              <w:top w:val="single" w:sz="4" w:space="0" w:color="auto"/>
              <w:left w:val="single" w:sz="4" w:space="0" w:color="auto"/>
              <w:bottom w:val="single" w:sz="4" w:space="0" w:color="auto"/>
              <w:right w:val="single" w:sz="4" w:space="0" w:color="auto"/>
            </w:tcBorders>
            <w:shd w:val="clear" w:color="000000" w:fill="9BBB59"/>
            <w:vAlign w:val="center"/>
            <w:hideMark/>
          </w:tcPr>
          <w:p w:rsidR="009C489F" w:rsidRPr="009C489F" w:rsidRDefault="009C489F" w:rsidP="009C489F">
            <w:pPr>
              <w:spacing w:after="0" w:line="240" w:lineRule="auto"/>
              <w:jc w:val="center"/>
              <w:rPr>
                <w:rFonts w:ascii="Arial" w:eastAsia="Times New Roman" w:hAnsi="Arial" w:cs="Arial"/>
                <w:color w:val="FFFFFF"/>
                <w:lang w:eastAsia="pl-PL"/>
              </w:rPr>
            </w:pPr>
            <w:r w:rsidRPr="009C489F">
              <w:rPr>
                <w:rFonts w:ascii="Arial" w:eastAsia="Times New Roman" w:hAnsi="Arial" w:cs="Arial"/>
                <w:color w:val="FFFFFF"/>
                <w:lang w:eastAsia="pl-PL"/>
              </w:rPr>
              <w:t>Działanie/</w:t>
            </w:r>
            <w:r w:rsidRPr="009C489F">
              <w:rPr>
                <w:rFonts w:ascii="Arial" w:eastAsia="Times New Roman" w:hAnsi="Arial" w:cs="Arial"/>
                <w:color w:val="FFFFFF"/>
                <w:lang w:eastAsia="pl-PL"/>
              </w:rPr>
              <w:br/>
              <w:t>Poddziałanie</w:t>
            </w:r>
          </w:p>
        </w:tc>
        <w:tc>
          <w:tcPr>
            <w:tcW w:w="8920" w:type="dxa"/>
            <w:gridSpan w:val="6"/>
            <w:tcBorders>
              <w:top w:val="single" w:sz="4" w:space="0" w:color="auto"/>
              <w:left w:val="nil"/>
              <w:bottom w:val="single" w:sz="4" w:space="0" w:color="auto"/>
              <w:right w:val="single" w:sz="4" w:space="0" w:color="auto"/>
            </w:tcBorders>
            <w:shd w:val="clear" w:color="000000" w:fill="9BBB59"/>
            <w:noWrap/>
            <w:vAlign w:val="center"/>
            <w:hideMark/>
          </w:tcPr>
          <w:p w:rsidR="009C489F" w:rsidRPr="009C489F" w:rsidRDefault="009C489F" w:rsidP="009C489F">
            <w:pPr>
              <w:spacing w:after="0" w:line="240" w:lineRule="auto"/>
              <w:jc w:val="center"/>
              <w:rPr>
                <w:rFonts w:ascii="Arial" w:eastAsia="Times New Roman" w:hAnsi="Arial" w:cs="Arial"/>
                <w:color w:val="FFFFFF"/>
                <w:lang w:eastAsia="pl-PL"/>
              </w:rPr>
            </w:pPr>
            <w:r w:rsidRPr="009C489F">
              <w:rPr>
                <w:rFonts w:ascii="Arial" w:eastAsia="Times New Roman" w:hAnsi="Arial" w:cs="Arial"/>
                <w:color w:val="FFFFFF"/>
                <w:lang w:eastAsia="pl-PL"/>
              </w:rPr>
              <w:t>Liczba bezrobotnych w wieku 18 - 30 lat</w:t>
            </w:r>
          </w:p>
        </w:tc>
      </w:tr>
      <w:tr w:rsidR="009C489F" w:rsidRPr="009C489F" w:rsidTr="009C489F">
        <w:trPr>
          <w:trHeight w:val="420"/>
        </w:trPr>
        <w:tc>
          <w:tcPr>
            <w:tcW w:w="1400" w:type="dxa"/>
            <w:vMerge/>
            <w:tcBorders>
              <w:top w:val="single" w:sz="4" w:space="0" w:color="auto"/>
              <w:left w:val="single" w:sz="4" w:space="0" w:color="auto"/>
              <w:bottom w:val="single" w:sz="4" w:space="0" w:color="auto"/>
              <w:right w:val="single" w:sz="4" w:space="0" w:color="auto"/>
            </w:tcBorders>
            <w:vAlign w:val="center"/>
            <w:hideMark/>
          </w:tcPr>
          <w:p w:rsidR="009C489F" w:rsidRPr="009C489F" w:rsidRDefault="009C489F" w:rsidP="009C489F">
            <w:pPr>
              <w:spacing w:after="0" w:line="240" w:lineRule="auto"/>
              <w:rPr>
                <w:rFonts w:ascii="Arial" w:eastAsia="Times New Roman" w:hAnsi="Arial" w:cs="Arial"/>
                <w:color w:val="FFFFFF"/>
                <w:lang w:eastAsia="pl-PL"/>
              </w:rPr>
            </w:pPr>
          </w:p>
        </w:tc>
        <w:tc>
          <w:tcPr>
            <w:tcW w:w="2840"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9C489F" w:rsidRPr="009C489F" w:rsidRDefault="009C489F" w:rsidP="009C489F">
            <w:pPr>
              <w:spacing w:after="0" w:line="240" w:lineRule="auto"/>
              <w:jc w:val="center"/>
              <w:rPr>
                <w:rFonts w:ascii="Arial" w:eastAsia="Times New Roman" w:hAnsi="Arial" w:cs="Arial"/>
                <w:color w:val="FFFFFF"/>
                <w:lang w:eastAsia="pl-PL"/>
              </w:rPr>
            </w:pPr>
            <w:r w:rsidRPr="009C489F">
              <w:rPr>
                <w:rFonts w:ascii="Arial" w:eastAsia="Times New Roman" w:hAnsi="Arial" w:cs="Arial"/>
                <w:color w:val="FFFFFF"/>
                <w:lang w:eastAsia="pl-PL"/>
              </w:rPr>
              <w:t>2009 r.</w:t>
            </w:r>
          </w:p>
        </w:tc>
        <w:tc>
          <w:tcPr>
            <w:tcW w:w="3040"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9C489F" w:rsidRPr="009C489F" w:rsidRDefault="009C489F" w:rsidP="009C489F">
            <w:pPr>
              <w:spacing w:after="0" w:line="240" w:lineRule="auto"/>
              <w:jc w:val="center"/>
              <w:rPr>
                <w:rFonts w:ascii="Arial" w:eastAsia="Times New Roman" w:hAnsi="Arial" w:cs="Arial"/>
                <w:color w:val="FFFFFF"/>
                <w:lang w:eastAsia="pl-PL"/>
              </w:rPr>
            </w:pPr>
            <w:r w:rsidRPr="009C489F">
              <w:rPr>
                <w:rFonts w:ascii="Arial" w:eastAsia="Times New Roman" w:hAnsi="Arial" w:cs="Arial"/>
                <w:color w:val="FFFFFF"/>
                <w:lang w:eastAsia="pl-PL"/>
              </w:rPr>
              <w:t>2010 r.</w:t>
            </w:r>
          </w:p>
        </w:tc>
        <w:tc>
          <w:tcPr>
            <w:tcW w:w="3040"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9C489F" w:rsidRPr="009C489F" w:rsidRDefault="009C489F" w:rsidP="009C489F">
            <w:pPr>
              <w:spacing w:after="0" w:line="240" w:lineRule="auto"/>
              <w:jc w:val="center"/>
              <w:rPr>
                <w:rFonts w:ascii="Arial" w:eastAsia="Times New Roman" w:hAnsi="Arial" w:cs="Arial"/>
                <w:color w:val="FFFFFF"/>
                <w:lang w:eastAsia="pl-PL"/>
              </w:rPr>
            </w:pPr>
            <w:r w:rsidRPr="009C489F">
              <w:rPr>
                <w:rFonts w:ascii="Arial" w:eastAsia="Times New Roman" w:hAnsi="Arial" w:cs="Arial"/>
                <w:color w:val="FFFFFF"/>
                <w:lang w:eastAsia="pl-PL"/>
              </w:rPr>
              <w:t>2011 r.</w:t>
            </w:r>
          </w:p>
        </w:tc>
      </w:tr>
      <w:tr w:rsidR="009C489F" w:rsidRPr="009C489F" w:rsidTr="006070F7">
        <w:trPr>
          <w:trHeight w:val="675"/>
        </w:trPr>
        <w:tc>
          <w:tcPr>
            <w:tcW w:w="1400" w:type="dxa"/>
            <w:vMerge/>
            <w:tcBorders>
              <w:top w:val="single" w:sz="4" w:space="0" w:color="auto"/>
              <w:left w:val="single" w:sz="4" w:space="0" w:color="auto"/>
              <w:bottom w:val="single" w:sz="4" w:space="0" w:color="auto"/>
              <w:right w:val="single" w:sz="4" w:space="0" w:color="auto"/>
            </w:tcBorders>
            <w:vAlign w:val="center"/>
            <w:hideMark/>
          </w:tcPr>
          <w:p w:rsidR="009C489F" w:rsidRPr="009C489F" w:rsidRDefault="009C489F" w:rsidP="009C489F">
            <w:pPr>
              <w:spacing w:after="0" w:line="240" w:lineRule="auto"/>
              <w:rPr>
                <w:rFonts w:ascii="Arial" w:eastAsia="Times New Roman" w:hAnsi="Arial" w:cs="Arial"/>
                <w:color w:val="FFFFFF"/>
                <w:lang w:eastAsia="pl-PL"/>
              </w:rPr>
            </w:pPr>
          </w:p>
        </w:tc>
        <w:tc>
          <w:tcPr>
            <w:tcW w:w="1294" w:type="dxa"/>
            <w:tcBorders>
              <w:top w:val="nil"/>
              <w:left w:val="nil"/>
              <w:bottom w:val="single" w:sz="4" w:space="0" w:color="auto"/>
              <w:right w:val="single" w:sz="4" w:space="0" w:color="auto"/>
            </w:tcBorders>
            <w:shd w:val="clear" w:color="000000" w:fill="9BBB59"/>
            <w:vAlign w:val="center"/>
            <w:hideMark/>
          </w:tcPr>
          <w:p w:rsidR="009C489F" w:rsidRPr="009C489F" w:rsidRDefault="009C489F" w:rsidP="009C489F">
            <w:pPr>
              <w:spacing w:after="0" w:line="240" w:lineRule="auto"/>
              <w:jc w:val="center"/>
              <w:rPr>
                <w:rFonts w:ascii="Arial" w:eastAsia="Times New Roman" w:hAnsi="Arial" w:cs="Arial"/>
                <w:color w:val="FFFFFF"/>
                <w:lang w:eastAsia="pl-PL"/>
              </w:rPr>
            </w:pPr>
            <w:r w:rsidRPr="009C489F">
              <w:rPr>
                <w:rFonts w:ascii="Arial" w:eastAsia="Times New Roman" w:hAnsi="Arial" w:cs="Arial"/>
                <w:color w:val="FFFFFF"/>
                <w:lang w:eastAsia="pl-PL"/>
              </w:rPr>
              <w:t>ogółem</w:t>
            </w:r>
          </w:p>
        </w:tc>
        <w:tc>
          <w:tcPr>
            <w:tcW w:w="1546" w:type="dxa"/>
            <w:tcBorders>
              <w:top w:val="nil"/>
              <w:left w:val="nil"/>
              <w:bottom w:val="single" w:sz="4" w:space="0" w:color="auto"/>
              <w:right w:val="single" w:sz="4" w:space="0" w:color="auto"/>
            </w:tcBorders>
            <w:shd w:val="clear" w:color="000000" w:fill="9BBB59"/>
            <w:vAlign w:val="center"/>
            <w:hideMark/>
          </w:tcPr>
          <w:p w:rsidR="009C489F" w:rsidRPr="009C489F" w:rsidRDefault="009C489F" w:rsidP="009C489F">
            <w:pPr>
              <w:spacing w:after="0" w:line="240" w:lineRule="auto"/>
              <w:jc w:val="center"/>
              <w:rPr>
                <w:rFonts w:ascii="Arial" w:eastAsia="Times New Roman" w:hAnsi="Arial" w:cs="Arial"/>
                <w:color w:val="FFFFFF"/>
                <w:lang w:eastAsia="pl-PL"/>
              </w:rPr>
            </w:pPr>
            <w:r w:rsidRPr="009C489F">
              <w:rPr>
                <w:rFonts w:ascii="Arial" w:eastAsia="Times New Roman" w:hAnsi="Arial" w:cs="Arial"/>
                <w:color w:val="FFFFFF"/>
                <w:lang w:eastAsia="pl-PL"/>
              </w:rPr>
              <w:t>w tym kobiety w %</w:t>
            </w:r>
          </w:p>
        </w:tc>
        <w:tc>
          <w:tcPr>
            <w:tcW w:w="1460" w:type="dxa"/>
            <w:tcBorders>
              <w:top w:val="nil"/>
              <w:left w:val="nil"/>
              <w:bottom w:val="single" w:sz="4" w:space="0" w:color="auto"/>
              <w:right w:val="single" w:sz="4" w:space="0" w:color="auto"/>
            </w:tcBorders>
            <w:shd w:val="clear" w:color="000000" w:fill="9BBB59"/>
            <w:vAlign w:val="center"/>
            <w:hideMark/>
          </w:tcPr>
          <w:p w:rsidR="009C489F" w:rsidRPr="009C489F" w:rsidRDefault="009C489F" w:rsidP="009C489F">
            <w:pPr>
              <w:spacing w:after="0" w:line="240" w:lineRule="auto"/>
              <w:jc w:val="center"/>
              <w:rPr>
                <w:rFonts w:ascii="Arial" w:eastAsia="Times New Roman" w:hAnsi="Arial" w:cs="Arial"/>
                <w:color w:val="FFFFFF"/>
                <w:lang w:eastAsia="pl-PL"/>
              </w:rPr>
            </w:pPr>
            <w:r w:rsidRPr="009C489F">
              <w:rPr>
                <w:rFonts w:ascii="Arial" w:eastAsia="Times New Roman" w:hAnsi="Arial" w:cs="Arial"/>
                <w:color w:val="FFFFFF"/>
                <w:lang w:eastAsia="pl-PL"/>
              </w:rPr>
              <w:t>ogółem</w:t>
            </w:r>
          </w:p>
        </w:tc>
        <w:tc>
          <w:tcPr>
            <w:tcW w:w="1580" w:type="dxa"/>
            <w:tcBorders>
              <w:top w:val="nil"/>
              <w:left w:val="nil"/>
              <w:bottom w:val="single" w:sz="4" w:space="0" w:color="auto"/>
              <w:right w:val="single" w:sz="4" w:space="0" w:color="auto"/>
            </w:tcBorders>
            <w:shd w:val="clear" w:color="000000" w:fill="9BBB59"/>
            <w:vAlign w:val="center"/>
            <w:hideMark/>
          </w:tcPr>
          <w:p w:rsidR="009C489F" w:rsidRPr="009C489F" w:rsidRDefault="009C489F" w:rsidP="009C489F">
            <w:pPr>
              <w:spacing w:after="0" w:line="240" w:lineRule="auto"/>
              <w:jc w:val="center"/>
              <w:rPr>
                <w:rFonts w:ascii="Arial" w:eastAsia="Times New Roman" w:hAnsi="Arial" w:cs="Arial"/>
                <w:color w:val="FFFFFF"/>
                <w:lang w:eastAsia="pl-PL"/>
              </w:rPr>
            </w:pPr>
            <w:r w:rsidRPr="009C489F">
              <w:rPr>
                <w:rFonts w:ascii="Arial" w:eastAsia="Times New Roman" w:hAnsi="Arial" w:cs="Arial"/>
                <w:color w:val="FFFFFF"/>
                <w:lang w:eastAsia="pl-PL"/>
              </w:rPr>
              <w:t xml:space="preserve"> w tym kobiety w %</w:t>
            </w:r>
          </w:p>
        </w:tc>
        <w:tc>
          <w:tcPr>
            <w:tcW w:w="1460" w:type="dxa"/>
            <w:tcBorders>
              <w:top w:val="nil"/>
              <w:left w:val="nil"/>
              <w:bottom w:val="single" w:sz="4" w:space="0" w:color="auto"/>
              <w:right w:val="single" w:sz="4" w:space="0" w:color="auto"/>
            </w:tcBorders>
            <w:shd w:val="clear" w:color="000000" w:fill="9BBB59"/>
            <w:vAlign w:val="center"/>
            <w:hideMark/>
          </w:tcPr>
          <w:p w:rsidR="009C489F" w:rsidRPr="009C489F" w:rsidRDefault="009C489F" w:rsidP="009C489F">
            <w:pPr>
              <w:spacing w:after="0" w:line="240" w:lineRule="auto"/>
              <w:jc w:val="center"/>
              <w:rPr>
                <w:rFonts w:ascii="Arial" w:eastAsia="Times New Roman" w:hAnsi="Arial" w:cs="Arial"/>
                <w:color w:val="FFFFFF"/>
                <w:lang w:eastAsia="pl-PL"/>
              </w:rPr>
            </w:pPr>
            <w:r w:rsidRPr="009C489F">
              <w:rPr>
                <w:rFonts w:ascii="Arial" w:eastAsia="Times New Roman" w:hAnsi="Arial" w:cs="Arial"/>
                <w:color w:val="FFFFFF"/>
                <w:lang w:eastAsia="pl-PL"/>
              </w:rPr>
              <w:t>ogółem</w:t>
            </w:r>
          </w:p>
        </w:tc>
        <w:tc>
          <w:tcPr>
            <w:tcW w:w="1580" w:type="dxa"/>
            <w:tcBorders>
              <w:top w:val="nil"/>
              <w:left w:val="nil"/>
              <w:bottom w:val="single" w:sz="4" w:space="0" w:color="auto"/>
              <w:right w:val="single" w:sz="4" w:space="0" w:color="auto"/>
            </w:tcBorders>
            <w:shd w:val="clear" w:color="000000" w:fill="9BBB59"/>
            <w:vAlign w:val="center"/>
            <w:hideMark/>
          </w:tcPr>
          <w:p w:rsidR="009C489F" w:rsidRPr="009C489F" w:rsidRDefault="009C489F" w:rsidP="009C489F">
            <w:pPr>
              <w:spacing w:after="0" w:line="240" w:lineRule="auto"/>
              <w:jc w:val="center"/>
              <w:rPr>
                <w:rFonts w:ascii="Arial" w:eastAsia="Times New Roman" w:hAnsi="Arial" w:cs="Arial"/>
                <w:color w:val="FFFFFF"/>
                <w:lang w:eastAsia="pl-PL"/>
              </w:rPr>
            </w:pPr>
            <w:r w:rsidRPr="009C489F">
              <w:rPr>
                <w:rFonts w:ascii="Arial" w:eastAsia="Times New Roman" w:hAnsi="Arial" w:cs="Arial"/>
                <w:color w:val="FFFFFF"/>
                <w:lang w:eastAsia="pl-PL"/>
              </w:rPr>
              <w:t>w tym kobiety w %</w:t>
            </w:r>
          </w:p>
        </w:tc>
      </w:tr>
      <w:tr w:rsidR="009C489F" w:rsidRPr="009C489F" w:rsidTr="006070F7">
        <w:trPr>
          <w:trHeight w:val="285"/>
        </w:trPr>
        <w:tc>
          <w:tcPr>
            <w:tcW w:w="1400" w:type="dxa"/>
            <w:tcBorders>
              <w:top w:val="nil"/>
              <w:left w:val="single" w:sz="4" w:space="0" w:color="auto"/>
              <w:bottom w:val="nil"/>
              <w:right w:val="single" w:sz="4" w:space="0" w:color="auto"/>
            </w:tcBorders>
            <w:shd w:val="clear" w:color="auto" w:fill="auto"/>
            <w:noWrap/>
            <w:vAlign w:val="center"/>
            <w:hideMark/>
          </w:tcPr>
          <w:p w:rsidR="009C489F" w:rsidRPr="009C489F" w:rsidRDefault="009C489F" w:rsidP="009C489F">
            <w:pPr>
              <w:spacing w:after="0" w:line="240" w:lineRule="auto"/>
              <w:rPr>
                <w:rFonts w:ascii="Arial" w:eastAsia="Times New Roman" w:hAnsi="Arial" w:cs="Arial"/>
                <w:color w:val="000000"/>
                <w:lang w:eastAsia="pl-PL"/>
              </w:rPr>
            </w:pPr>
            <w:r w:rsidRPr="009C489F">
              <w:rPr>
                <w:rFonts w:ascii="Arial" w:eastAsia="Times New Roman" w:hAnsi="Arial" w:cs="Arial"/>
                <w:color w:val="000000"/>
                <w:lang w:eastAsia="pl-PL"/>
              </w:rPr>
              <w:t>6.1.1</w:t>
            </w:r>
          </w:p>
        </w:tc>
        <w:tc>
          <w:tcPr>
            <w:tcW w:w="1294"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458</w:t>
            </w:r>
          </w:p>
        </w:tc>
        <w:tc>
          <w:tcPr>
            <w:tcW w:w="1546"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69,7</w:t>
            </w:r>
          </w:p>
        </w:tc>
        <w:tc>
          <w:tcPr>
            <w:tcW w:w="146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398</w:t>
            </w:r>
          </w:p>
        </w:tc>
        <w:tc>
          <w:tcPr>
            <w:tcW w:w="158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48,7</w:t>
            </w:r>
          </w:p>
        </w:tc>
        <w:tc>
          <w:tcPr>
            <w:tcW w:w="146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922</w:t>
            </w:r>
          </w:p>
        </w:tc>
        <w:tc>
          <w:tcPr>
            <w:tcW w:w="158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46,9</w:t>
            </w:r>
          </w:p>
        </w:tc>
      </w:tr>
      <w:tr w:rsidR="009C489F" w:rsidRPr="009C489F" w:rsidTr="006070F7">
        <w:trPr>
          <w:trHeight w:val="285"/>
        </w:trPr>
        <w:tc>
          <w:tcPr>
            <w:tcW w:w="1400" w:type="dxa"/>
            <w:tcBorders>
              <w:top w:val="nil"/>
              <w:left w:val="single" w:sz="4" w:space="0" w:color="auto"/>
              <w:bottom w:val="nil"/>
              <w:right w:val="single" w:sz="4" w:space="0" w:color="auto"/>
            </w:tcBorders>
            <w:shd w:val="clear" w:color="auto" w:fill="auto"/>
            <w:noWrap/>
            <w:vAlign w:val="center"/>
            <w:hideMark/>
          </w:tcPr>
          <w:p w:rsidR="009C489F" w:rsidRPr="009C489F" w:rsidRDefault="009C489F" w:rsidP="009C489F">
            <w:pPr>
              <w:spacing w:after="0" w:line="240" w:lineRule="auto"/>
              <w:rPr>
                <w:rFonts w:ascii="Arial" w:eastAsia="Times New Roman" w:hAnsi="Arial" w:cs="Arial"/>
                <w:color w:val="000000"/>
                <w:lang w:eastAsia="pl-PL"/>
              </w:rPr>
            </w:pPr>
            <w:r w:rsidRPr="009C489F">
              <w:rPr>
                <w:rFonts w:ascii="Arial" w:eastAsia="Times New Roman" w:hAnsi="Arial" w:cs="Arial"/>
                <w:color w:val="000000"/>
                <w:lang w:eastAsia="pl-PL"/>
              </w:rPr>
              <w:t>6.1.3</w:t>
            </w:r>
          </w:p>
        </w:tc>
        <w:tc>
          <w:tcPr>
            <w:tcW w:w="1294"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4 972</w:t>
            </w:r>
          </w:p>
        </w:tc>
        <w:tc>
          <w:tcPr>
            <w:tcW w:w="1546"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56,6</w:t>
            </w:r>
          </w:p>
        </w:tc>
        <w:tc>
          <w:tcPr>
            <w:tcW w:w="146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6 191</w:t>
            </w:r>
          </w:p>
        </w:tc>
        <w:tc>
          <w:tcPr>
            <w:tcW w:w="158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57,5</w:t>
            </w:r>
          </w:p>
        </w:tc>
        <w:tc>
          <w:tcPr>
            <w:tcW w:w="146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1 968</w:t>
            </w:r>
          </w:p>
        </w:tc>
        <w:tc>
          <w:tcPr>
            <w:tcW w:w="158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55,0</w:t>
            </w:r>
          </w:p>
        </w:tc>
      </w:tr>
      <w:tr w:rsidR="009C489F" w:rsidRPr="009C489F" w:rsidTr="006070F7">
        <w:trPr>
          <w:trHeight w:val="285"/>
        </w:trPr>
        <w:tc>
          <w:tcPr>
            <w:tcW w:w="1400" w:type="dxa"/>
            <w:tcBorders>
              <w:top w:val="nil"/>
              <w:left w:val="single" w:sz="4" w:space="0" w:color="auto"/>
              <w:bottom w:val="nil"/>
              <w:right w:val="single" w:sz="4" w:space="0" w:color="auto"/>
            </w:tcBorders>
            <w:shd w:val="clear" w:color="auto" w:fill="auto"/>
            <w:noWrap/>
            <w:vAlign w:val="center"/>
            <w:hideMark/>
          </w:tcPr>
          <w:p w:rsidR="009C489F" w:rsidRPr="009C489F" w:rsidRDefault="009C489F" w:rsidP="009C489F">
            <w:pPr>
              <w:spacing w:after="0" w:line="240" w:lineRule="auto"/>
              <w:rPr>
                <w:rFonts w:ascii="Arial" w:eastAsia="Times New Roman" w:hAnsi="Arial" w:cs="Arial"/>
                <w:color w:val="000000"/>
                <w:lang w:eastAsia="pl-PL"/>
              </w:rPr>
            </w:pPr>
            <w:r w:rsidRPr="009C489F">
              <w:rPr>
                <w:rFonts w:ascii="Arial" w:eastAsia="Times New Roman" w:hAnsi="Arial" w:cs="Arial"/>
                <w:color w:val="000000"/>
                <w:lang w:eastAsia="pl-PL"/>
              </w:rPr>
              <w:t>6.2</w:t>
            </w:r>
          </w:p>
        </w:tc>
        <w:tc>
          <w:tcPr>
            <w:tcW w:w="1294"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131</w:t>
            </w:r>
          </w:p>
        </w:tc>
        <w:tc>
          <w:tcPr>
            <w:tcW w:w="1546"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54,2</w:t>
            </w:r>
          </w:p>
        </w:tc>
        <w:tc>
          <w:tcPr>
            <w:tcW w:w="146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209</w:t>
            </w:r>
          </w:p>
        </w:tc>
        <w:tc>
          <w:tcPr>
            <w:tcW w:w="158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45,9</w:t>
            </w:r>
          </w:p>
        </w:tc>
        <w:tc>
          <w:tcPr>
            <w:tcW w:w="146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136</w:t>
            </w:r>
          </w:p>
        </w:tc>
        <w:tc>
          <w:tcPr>
            <w:tcW w:w="158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58,1</w:t>
            </w:r>
          </w:p>
        </w:tc>
      </w:tr>
      <w:tr w:rsidR="009C489F" w:rsidRPr="009C489F" w:rsidTr="006070F7">
        <w:trPr>
          <w:trHeight w:val="285"/>
        </w:trPr>
        <w:tc>
          <w:tcPr>
            <w:tcW w:w="1400" w:type="dxa"/>
            <w:tcBorders>
              <w:top w:val="nil"/>
              <w:left w:val="single" w:sz="4" w:space="0" w:color="auto"/>
              <w:bottom w:val="nil"/>
              <w:right w:val="single" w:sz="4" w:space="0" w:color="auto"/>
            </w:tcBorders>
            <w:shd w:val="clear" w:color="auto" w:fill="auto"/>
            <w:noWrap/>
            <w:vAlign w:val="center"/>
            <w:hideMark/>
          </w:tcPr>
          <w:p w:rsidR="009C489F" w:rsidRPr="009C489F" w:rsidRDefault="009C489F" w:rsidP="009C489F">
            <w:pPr>
              <w:spacing w:after="0" w:line="240" w:lineRule="auto"/>
              <w:rPr>
                <w:rFonts w:ascii="Arial" w:eastAsia="Times New Roman" w:hAnsi="Arial" w:cs="Arial"/>
                <w:color w:val="000000"/>
                <w:lang w:eastAsia="pl-PL"/>
              </w:rPr>
            </w:pPr>
            <w:r w:rsidRPr="009C489F">
              <w:rPr>
                <w:rFonts w:ascii="Arial" w:eastAsia="Times New Roman" w:hAnsi="Arial" w:cs="Arial"/>
                <w:color w:val="000000"/>
                <w:lang w:eastAsia="pl-PL"/>
              </w:rPr>
              <w:t>6.3</w:t>
            </w:r>
          </w:p>
        </w:tc>
        <w:tc>
          <w:tcPr>
            <w:tcW w:w="1294"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171</w:t>
            </w:r>
          </w:p>
        </w:tc>
        <w:tc>
          <w:tcPr>
            <w:tcW w:w="1546"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67,8</w:t>
            </w:r>
          </w:p>
        </w:tc>
        <w:tc>
          <w:tcPr>
            <w:tcW w:w="146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129</w:t>
            </w:r>
          </w:p>
        </w:tc>
        <w:tc>
          <w:tcPr>
            <w:tcW w:w="158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59,7</w:t>
            </w:r>
          </w:p>
        </w:tc>
        <w:tc>
          <w:tcPr>
            <w:tcW w:w="146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27</w:t>
            </w:r>
          </w:p>
        </w:tc>
        <w:tc>
          <w:tcPr>
            <w:tcW w:w="158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81,5</w:t>
            </w:r>
          </w:p>
        </w:tc>
      </w:tr>
      <w:tr w:rsidR="009C489F" w:rsidRPr="009C489F" w:rsidTr="006070F7">
        <w:trPr>
          <w:trHeight w:val="285"/>
        </w:trPr>
        <w:tc>
          <w:tcPr>
            <w:tcW w:w="1400" w:type="dxa"/>
            <w:tcBorders>
              <w:top w:val="nil"/>
              <w:left w:val="single" w:sz="4" w:space="0" w:color="auto"/>
              <w:bottom w:val="nil"/>
              <w:right w:val="single" w:sz="4" w:space="0" w:color="auto"/>
            </w:tcBorders>
            <w:shd w:val="clear" w:color="000000" w:fill="D8E4BC"/>
            <w:noWrap/>
            <w:vAlign w:val="center"/>
            <w:hideMark/>
          </w:tcPr>
          <w:p w:rsidR="009C489F" w:rsidRPr="009C489F" w:rsidRDefault="009C489F" w:rsidP="009C489F">
            <w:pPr>
              <w:spacing w:after="0" w:line="240" w:lineRule="auto"/>
              <w:jc w:val="center"/>
              <w:rPr>
                <w:rFonts w:ascii="Arial" w:eastAsia="Times New Roman" w:hAnsi="Arial" w:cs="Arial"/>
                <w:color w:val="000000"/>
                <w:lang w:eastAsia="pl-PL"/>
              </w:rPr>
            </w:pPr>
            <w:r w:rsidRPr="009C489F">
              <w:rPr>
                <w:rFonts w:ascii="Arial" w:eastAsia="Times New Roman" w:hAnsi="Arial" w:cs="Arial"/>
                <w:color w:val="000000"/>
                <w:lang w:eastAsia="pl-PL"/>
              </w:rPr>
              <w:t>VI</w:t>
            </w:r>
          </w:p>
        </w:tc>
        <w:tc>
          <w:tcPr>
            <w:tcW w:w="1294" w:type="dxa"/>
            <w:tcBorders>
              <w:top w:val="nil"/>
              <w:left w:val="nil"/>
              <w:bottom w:val="nil"/>
              <w:right w:val="single" w:sz="4" w:space="0" w:color="auto"/>
            </w:tcBorders>
            <w:shd w:val="clear" w:color="000000" w:fill="D8E4BC"/>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5 732</w:t>
            </w:r>
          </w:p>
        </w:tc>
        <w:tc>
          <w:tcPr>
            <w:tcW w:w="1546" w:type="dxa"/>
            <w:tcBorders>
              <w:top w:val="nil"/>
              <w:left w:val="nil"/>
              <w:bottom w:val="nil"/>
              <w:right w:val="single" w:sz="4" w:space="0" w:color="auto"/>
            </w:tcBorders>
            <w:shd w:val="clear" w:color="000000" w:fill="D8E4BC"/>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57,9</w:t>
            </w:r>
          </w:p>
        </w:tc>
        <w:tc>
          <w:tcPr>
            <w:tcW w:w="1460" w:type="dxa"/>
            <w:tcBorders>
              <w:top w:val="nil"/>
              <w:left w:val="nil"/>
              <w:bottom w:val="nil"/>
              <w:right w:val="single" w:sz="4" w:space="0" w:color="auto"/>
            </w:tcBorders>
            <w:shd w:val="clear" w:color="000000" w:fill="D8E4BC"/>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6 927</w:t>
            </w:r>
          </w:p>
        </w:tc>
        <w:tc>
          <w:tcPr>
            <w:tcW w:w="1580" w:type="dxa"/>
            <w:tcBorders>
              <w:top w:val="nil"/>
              <w:left w:val="nil"/>
              <w:bottom w:val="nil"/>
              <w:right w:val="single" w:sz="4" w:space="0" w:color="auto"/>
            </w:tcBorders>
            <w:shd w:val="clear" w:color="000000" w:fill="D8E4BC"/>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56,7</w:t>
            </w:r>
          </w:p>
        </w:tc>
        <w:tc>
          <w:tcPr>
            <w:tcW w:w="1460" w:type="dxa"/>
            <w:tcBorders>
              <w:top w:val="nil"/>
              <w:left w:val="nil"/>
              <w:bottom w:val="nil"/>
              <w:right w:val="single" w:sz="4" w:space="0" w:color="auto"/>
            </w:tcBorders>
            <w:shd w:val="clear" w:color="000000" w:fill="D8E4BC"/>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3 053</w:t>
            </w:r>
          </w:p>
        </w:tc>
        <w:tc>
          <w:tcPr>
            <w:tcW w:w="1580" w:type="dxa"/>
            <w:tcBorders>
              <w:top w:val="nil"/>
              <w:left w:val="nil"/>
              <w:bottom w:val="nil"/>
              <w:right w:val="single" w:sz="4" w:space="0" w:color="auto"/>
            </w:tcBorders>
            <w:shd w:val="clear" w:color="000000" w:fill="D8E4BC"/>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52,9</w:t>
            </w:r>
          </w:p>
        </w:tc>
      </w:tr>
      <w:tr w:rsidR="009C489F" w:rsidRPr="009C489F" w:rsidTr="006070F7">
        <w:trPr>
          <w:trHeight w:val="285"/>
        </w:trPr>
        <w:tc>
          <w:tcPr>
            <w:tcW w:w="1400" w:type="dxa"/>
            <w:tcBorders>
              <w:top w:val="nil"/>
              <w:left w:val="single" w:sz="4" w:space="0" w:color="auto"/>
              <w:bottom w:val="nil"/>
              <w:right w:val="single" w:sz="4" w:space="0" w:color="auto"/>
            </w:tcBorders>
            <w:shd w:val="clear" w:color="auto" w:fill="auto"/>
            <w:noWrap/>
            <w:vAlign w:val="center"/>
            <w:hideMark/>
          </w:tcPr>
          <w:p w:rsidR="009C489F" w:rsidRPr="009C489F" w:rsidRDefault="009C489F" w:rsidP="009C489F">
            <w:pPr>
              <w:spacing w:after="0" w:line="240" w:lineRule="auto"/>
              <w:rPr>
                <w:rFonts w:ascii="Arial" w:eastAsia="Times New Roman" w:hAnsi="Arial" w:cs="Arial"/>
                <w:color w:val="000000"/>
                <w:lang w:eastAsia="pl-PL"/>
              </w:rPr>
            </w:pPr>
            <w:r w:rsidRPr="009C489F">
              <w:rPr>
                <w:rFonts w:ascii="Arial" w:eastAsia="Times New Roman" w:hAnsi="Arial" w:cs="Arial"/>
                <w:color w:val="000000"/>
                <w:lang w:eastAsia="pl-PL"/>
              </w:rPr>
              <w:t>7.1.1</w:t>
            </w:r>
          </w:p>
        </w:tc>
        <w:tc>
          <w:tcPr>
            <w:tcW w:w="1294"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286</w:t>
            </w:r>
          </w:p>
        </w:tc>
        <w:tc>
          <w:tcPr>
            <w:tcW w:w="1546"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79,7</w:t>
            </w:r>
          </w:p>
        </w:tc>
        <w:tc>
          <w:tcPr>
            <w:tcW w:w="146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464</w:t>
            </w:r>
          </w:p>
        </w:tc>
        <w:tc>
          <w:tcPr>
            <w:tcW w:w="158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77,2</w:t>
            </w:r>
          </w:p>
        </w:tc>
        <w:tc>
          <w:tcPr>
            <w:tcW w:w="146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486</w:t>
            </w:r>
          </w:p>
        </w:tc>
        <w:tc>
          <w:tcPr>
            <w:tcW w:w="158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75,9</w:t>
            </w:r>
          </w:p>
        </w:tc>
      </w:tr>
      <w:tr w:rsidR="009C489F" w:rsidRPr="009C489F" w:rsidTr="006070F7">
        <w:trPr>
          <w:trHeight w:val="285"/>
        </w:trPr>
        <w:tc>
          <w:tcPr>
            <w:tcW w:w="1400" w:type="dxa"/>
            <w:tcBorders>
              <w:top w:val="nil"/>
              <w:left w:val="single" w:sz="4" w:space="0" w:color="auto"/>
              <w:bottom w:val="nil"/>
              <w:right w:val="single" w:sz="4" w:space="0" w:color="auto"/>
            </w:tcBorders>
            <w:shd w:val="clear" w:color="auto" w:fill="auto"/>
            <w:noWrap/>
            <w:vAlign w:val="center"/>
            <w:hideMark/>
          </w:tcPr>
          <w:p w:rsidR="009C489F" w:rsidRPr="009C489F" w:rsidRDefault="009C489F" w:rsidP="009C489F">
            <w:pPr>
              <w:spacing w:after="0" w:line="240" w:lineRule="auto"/>
              <w:rPr>
                <w:rFonts w:ascii="Arial" w:eastAsia="Times New Roman" w:hAnsi="Arial" w:cs="Arial"/>
                <w:color w:val="000000"/>
                <w:lang w:eastAsia="pl-PL"/>
              </w:rPr>
            </w:pPr>
            <w:r w:rsidRPr="009C489F">
              <w:rPr>
                <w:rFonts w:ascii="Arial" w:eastAsia="Times New Roman" w:hAnsi="Arial" w:cs="Arial"/>
                <w:color w:val="000000"/>
                <w:lang w:eastAsia="pl-PL"/>
              </w:rPr>
              <w:t>7.1.2</w:t>
            </w:r>
          </w:p>
        </w:tc>
        <w:tc>
          <w:tcPr>
            <w:tcW w:w="1294"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25</w:t>
            </w:r>
          </w:p>
        </w:tc>
        <w:tc>
          <w:tcPr>
            <w:tcW w:w="1546"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76,0</w:t>
            </w:r>
          </w:p>
        </w:tc>
        <w:tc>
          <w:tcPr>
            <w:tcW w:w="146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35</w:t>
            </w:r>
          </w:p>
        </w:tc>
        <w:tc>
          <w:tcPr>
            <w:tcW w:w="158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80,0</w:t>
            </w:r>
          </w:p>
        </w:tc>
        <w:tc>
          <w:tcPr>
            <w:tcW w:w="146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49</w:t>
            </w:r>
          </w:p>
        </w:tc>
        <w:tc>
          <w:tcPr>
            <w:tcW w:w="158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49,0</w:t>
            </w:r>
          </w:p>
        </w:tc>
      </w:tr>
      <w:tr w:rsidR="009C489F" w:rsidRPr="009C489F" w:rsidTr="006070F7">
        <w:trPr>
          <w:trHeight w:val="285"/>
        </w:trPr>
        <w:tc>
          <w:tcPr>
            <w:tcW w:w="1400" w:type="dxa"/>
            <w:tcBorders>
              <w:top w:val="nil"/>
              <w:left w:val="single" w:sz="4" w:space="0" w:color="auto"/>
              <w:bottom w:val="nil"/>
              <w:right w:val="single" w:sz="4" w:space="0" w:color="auto"/>
            </w:tcBorders>
            <w:shd w:val="clear" w:color="auto" w:fill="auto"/>
            <w:noWrap/>
            <w:vAlign w:val="center"/>
            <w:hideMark/>
          </w:tcPr>
          <w:p w:rsidR="009C489F" w:rsidRPr="009C489F" w:rsidRDefault="009C489F" w:rsidP="009C489F">
            <w:pPr>
              <w:spacing w:after="0" w:line="240" w:lineRule="auto"/>
              <w:rPr>
                <w:rFonts w:ascii="Arial" w:eastAsia="Times New Roman" w:hAnsi="Arial" w:cs="Arial"/>
                <w:color w:val="000000"/>
                <w:lang w:eastAsia="pl-PL"/>
              </w:rPr>
            </w:pPr>
            <w:r w:rsidRPr="009C489F">
              <w:rPr>
                <w:rFonts w:ascii="Arial" w:eastAsia="Times New Roman" w:hAnsi="Arial" w:cs="Arial"/>
                <w:color w:val="000000"/>
                <w:lang w:eastAsia="pl-PL"/>
              </w:rPr>
              <w:t>7.2.1</w:t>
            </w:r>
          </w:p>
        </w:tc>
        <w:tc>
          <w:tcPr>
            <w:tcW w:w="1294"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87</w:t>
            </w:r>
          </w:p>
        </w:tc>
        <w:tc>
          <w:tcPr>
            <w:tcW w:w="1546"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39,1</w:t>
            </w:r>
          </w:p>
        </w:tc>
        <w:tc>
          <w:tcPr>
            <w:tcW w:w="146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185</w:t>
            </w:r>
          </w:p>
        </w:tc>
        <w:tc>
          <w:tcPr>
            <w:tcW w:w="158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46,5</w:t>
            </w:r>
          </w:p>
        </w:tc>
        <w:tc>
          <w:tcPr>
            <w:tcW w:w="146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142</w:t>
            </w:r>
          </w:p>
        </w:tc>
        <w:tc>
          <w:tcPr>
            <w:tcW w:w="158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67,6</w:t>
            </w:r>
          </w:p>
        </w:tc>
      </w:tr>
      <w:tr w:rsidR="009C489F" w:rsidRPr="009C489F" w:rsidTr="006070F7">
        <w:trPr>
          <w:trHeight w:val="285"/>
        </w:trPr>
        <w:tc>
          <w:tcPr>
            <w:tcW w:w="1400" w:type="dxa"/>
            <w:tcBorders>
              <w:top w:val="nil"/>
              <w:left w:val="single" w:sz="4" w:space="0" w:color="auto"/>
              <w:bottom w:val="nil"/>
              <w:right w:val="single" w:sz="4" w:space="0" w:color="auto"/>
            </w:tcBorders>
            <w:shd w:val="clear" w:color="auto" w:fill="auto"/>
            <w:noWrap/>
            <w:vAlign w:val="center"/>
            <w:hideMark/>
          </w:tcPr>
          <w:p w:rsidR="009C489F" w:rsidRPr="009C489F" w:rsidRDefault="009C489F" w:rsidP="009C489F">
            <w:pPr>
              <w:spacing w:after="0" w:line="240" w:lineRule="auto"/>
              <w:rPr>
                <w:rFonts w:ascii="Arial" w:eastAsia="Times New Roman" w:hAnsi="Arial" w:cs="Arial"/>
                <w:color w:val="000000"/>
                <w:lang w:eastAsia="pl-PL"/>
              </w:rPr>
            </w:pPr>
            <w:r w:rsidRPr="009C489F">
              <w:rPr>
                <w:rFonts w:ascii="Arial" w:eastAsia="Times New Roman" w:hAnsi="Arial" w:cs="Arial"/>
                <w:color w:val="000000"/>
                <w:lang w:eastAsia="pl-PL"/>
              </w:rPr>
              <w:t>7.2.2</w:t>
            </w:r>
          </w:p>
        </w:tc>
        <w:tc>
          <w:tcPr>
            <w:tcW w:w="1294"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29</w:t>
            </w:r>
          </w:p>
        </w:tc>
        <w:tc>
          <w:tcPr>
            <w:tcW w:w="1546"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51,7</w:t>
            </w:r>
          </w:p>
        </w:tc>
        <w:tc>
          <w:tcPr>
            <w:tcW w:w="146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72</w:t>
            </w:r>
          </w:p>
        </w:tc>
        <w:tc>
          <w:tcPr>
            <w:tcW w:w="158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69,4</w:t>
            </w:r>
          </w:p>
        </w:tc>
        <w:tc>
          <w:tcPr>
            <w:tcW w:w="146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52</w:t>
            </w:r>
          </w:p>
        </w:tc>
        <w:tc>
          <w:tcPr>
            <w:tcW w:w="158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55,8</w:t>
            </w:r>
          </w:p>
        </w:tc>
      </w:tr>
      <w:tr w:rsidR="009C489F" w:rsidRPr="009C489F" w:rsidTr="006070F7">
        <w:trPr>
          <w:trHeight w:val="285"/>
        </w:trPr>
        <w:tc>
          <w:tcPr>
            <w:tcW w:w="1400" w:type="dxa"/>
            <w:tcBorders>
              <w:top w:val="nil"/>
              <w:left w:val="single" w:sz="4" w:space="0" w:color="auto"/>
              <w:bottom w:val="nil"/>
              <w:right w:val="single" w:sz="4" w:space="0" w:color="auto"/>
            </w:tcBorders>
            <w:shd w:val="clear" w:color="auto" w:fill="auto"/>
            <w:noWrap/>
            <w:vAlign w:val="center"/>
            <w:hideMark/>
          </w:tcPr>
          <w:p w:rsidR="009C489F" w:rsidRPr="009C489F" w:rsidRDefault="009C489F" w:rsidP="009C489F">
            <w:pPr>
              <w:spacing w:after="0" w:line="240" w:lineRule="auto"/>
              <w:rPr>
                <w:rFonts w:ascii="Arial" w:eastAsia="Times New Roman" w:hAnsi="Arial" w:cs="Arial"/>
                <w:color w:val="000000"/>
                <w:lang w:eastAsia="pl-PL"/>
              </w:rPr>
            </w:pPr>
            <w:r w:rsidRPr="009C489F">
              <w:rPr>
                <w:rFonts w:ascii="Arial" w:eastAsia="Times New Roman" w:hAnsi="Arial" w:cs="Arial"/>
                <w:color w:val="000000"/>
                <w:lang w:eastAsia="pl-PL"/>
              </w:rPr>
              <w:t>7.3</w:t>
            </w:r>
          </w:p>
        </w:tc>
        <w:tc>
          <w:tcPr>
            <w:tcW w:w="1294"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271</w:t>
            </w:r>
          </w:p>
        </w:tc>
        <w:tc>
          <w:tcPr>
            <w:tcW w:w="1546"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56,8</w:t>
            </w:r>
          </w:p>
        </w:tc>
        <w:tc>
          <w:tcPr>
            <w:tcW w:w="146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301</w:t>
            </w:r>
          </w:p>
        </w:tc>
        <w:tc>
          <w:tcPr>
            <w:tcW w:w="158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72,8</w:t>
            </w:r>
          </w:p>
        </w:tc>
        <w:tc>
          <w:tcPr>
            <w:tcW w:w="146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120</w:t>
            </w:r>
          </w:p>
        </w:tc>
        <w:tc>
          <w:tcPr>
            <w:tcW w:w="158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70,0</w:t>
            </w:r>
          </w:p>
        </w:tc>
      </w:tr>
      <w:tr w:rsidR="009C489F" w:rsidRPr="009C489F" w:rsidTr="006070F7">
        <w:trPr>
          <w:trHeight w:val="285"/>
        </w:trPr>
        <w:tc>
          <w:tcPr>
            <w:tcW w:w="1400" w:type="dxa"/>
            <w:tcBorders>
              <w:top w:val="nil"/>
              <w:left w:val="single" w:sz="4" w:space="0" w:color="auto"/>
              <w:bottom w:val="nil"/>
              <w:right w:val="single" w:sz="4" w:space="0" w:color="auto"/>
            </w:tcBorders>
            <w:shd w:val="clear" w:color="000000" w:fill="D8E4BC"/>
            <w:noWrap/>
            <w:vAlign w:val="center"/>
            <w:hideMark/>
          </w:tcPr>
          <w:p w:rsidR="009C489F" w:rsidRPr="009C489F" w:rsidRDefault="009C489F" w:rsidP="009C489F">
            <w:pPr>
              <w:spacing w:after="0" w:line="240" w:lineRule="auto"/>
              <w:jc w:val="center"/>
              <w:rPr>
                <w:rFonts w:ascii="Arial" w:eastAsia="Times New Roman" w:hAnsi="Arial" w:cs="Arial"/>
                <w:color w:val="000000"/>
                <w:lang w:eastAsia="pl-PL"/>
              </w:rPr>
            </w:pPr>
            <w:r w:rsidRPr="009C489F">
              <w:rPr>
                <w:rFonts w:ascii="Arial" w:eastAsia="Times New Roman" w:hAnsi="Arial" w:cs="Arial"/>
                <w:color w:val="000000"/>
                <w:lang w:eastAsia="pl-PL"/>
              </w:rPr>
              <w:t>VII</w:t>
            </w:r>
          </w:p>
        </w:tc>
        <w:tc>
          <w:tcPr>
            <w:tcW w:w="1294" w:type="dxa"/>
            <w:tcBorders>
              <w:top w:val="nil"/>
              <w:left w:val="nil"/>
              <w:bottom w:val="nil"/>
              <w:right w:val="single" w:sz="4" w:space="0" w:color="auto"/>
            </w:tcBorders>
            <w:shd w:val="clear" w:color="000000" w:fill="D8E4BC"/>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698</w:t>
            </w:r>
          </w:p>
        </w:tc>
        <w:tc>
          <w:tcPr>
            <w:tcW w:w="1546" w:type="dxa"/>
            <w:tcBorders>
              <w:top w:val="nil"/>
              <w:left w:val="nil"/>
              <w:bottom w:val="nil"/>
              <w:right w:val="single" w:sz="4" w:space="0" w:color="auto"/>
            </w:tcBorders>
            <w:shd w:val="clear" w:color="000000" w:fill="D8E4BC"/>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64,5</w:t>
            </w:r>
          </w:p>
        </w:tc>
        <w:tc>
          <w:tcPr>
            <w:tcW w:w="1460" w:type="dxa"/>
            <w:tcBorders>
              <w:top w:val="nil"/>
              <w:left w:val="nil"/>
              <w:bottom w:val="nil"/>
              <w:right w:val="single" w:sz="4" w:space="0" w:color="auto"/>
            </w:tcBorders>
            <w:shd w:val="clear" w:color="000000" w:fill="D8E4BC"/>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1 057</w:t>
            </w:r>
          </w:p>
        </w:tc>
        <w:tc>
          <w:tcPr>
            <w:tcW w:w="1580" w:type="dxa"/>
            <w:tcBorders>
              <w:top w:val="nil"/>
              <w:left w:val="nil"/>
              <w:bottom w:val="nil"/>
              <w:right w:val="single" w:sz="4" w:space="0" w:color="auto"/>
            </w:tcBorders>
            <w:shd w:val="clear" w:color="000000" w:fill="D8E4BC"/>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70,1</w:t>
            </w:r>
          </w:p>
        </w:tc>
        <w:tc>
          <w:tcPr>
            <w:tcW w:w="1460" w:type="dxa"/>
            <w:tcBorders>
              <w:top w:val="nil"/>
              <w:left w:val="nil"/>
              <w:bottom w:val="nil"/>
              <w:right w:val="single" w:sz="4" w:space="0" w:color="auto"/>
            </w:tcBorders>
            <w:shd w:val="clear" w:color="000000" w:fill="D8E4BC"/>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849</w:t>
            </w:r>
          </w:p>
        </w:tc>
        <w:tc>
          <w:tcPr>
            <w:tcW w:w="1580" w:type="dxa"/>
            <w:tcBorders>
              <w:top w:val="nil"/>
              <w:left w:val="nil"/>
              <w:bottom w:val="nil"/>
              <w:right w:val="single" w:sz="4" w:space="0" w:color="auto"/>
            </w:tcBorders>
            <w:shd w:val="clear" w:color="000000" w:fill="D8E4BC"/>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70,9</w:t>
            </w:r>
          </w:p>
        </w:tc>
      </w:tr>
      <w:tr w:rsidR="009C489F" w:rsidRPr="009C489F" w:rsidTr="006070F7">
        <w:trPr>
          <w:trHeight w:val="285"/>
        </w:trPr>
        <w:tc>
          <w:tcPr>
            <w:tcW w:w="1400" w:type="dxa"/>
            <w:tcBorders>
              <w:top w:val="nil"/>
              <w:left w:val="single" w:sz="4" w:space="0" w:color="auto"/>
              <w:bottom w:val="nil"/>
              <w:right w:val="single" w:sz="4" w:space="0" w:color="auto"/>
            </w:tcBorders>
            <w:shd w:val="clear" w:color="auto" w:fill="auto"/>
            <w:noWrap/>
            <w:vAlign w:val="center"/>
            <w:hideMark/>
          </w:tcPr>
          <w:p w:rsidR="009C489F" w:rsidRPr="009C489F" w:rsidRDefault="009C489F" w:rsidP="009C489F">
            <w:pPr>
              <w:spacing w:after="0" w:line="240" w:lineRule="auto"/>
              <w:rPr>
                <w:rFonts w:ascii="Arial" w:eastAsia="Times New Roman" w:hAnsi="Arial" w:cs="Arial"/>
                <w:color w:val="000000"/>
                <w:lang w:eastAsia="pl-PL"/>
              </w:rPr>
            </w:pPr>
            <w:r w:rsidRPr="009C489F">
              <w:rPr>
                <w:rFonts w:ascii="Arial" w:eastAsia="Times New Roman" w:hAnsi="Arial" w:cs="Arial"/>
                <w:color w:val="000000"/>
                <w:lang w:eastAsia="pl-PL"/>
              </w:rPr>
              <w:t>8.1.2</w:t>
            </w:r>
          </w:p>
        </w:tc>
        <w:tc>
          <w:tcPr>
            <w:tcW w:w="1294"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14</w:t>
            </w:r>
          </w:p>
        </w:tc>
        <w:tc>
          <w:tcPr>
            <w:tcW w:w="1546"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14,3</w:t>
            </w:r>
          </w:p>
        </w:tc>
        <w:tc>
          <w:tcPr>
            <w:tcW w:w="146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119</w:t>
            </w:r>
          </w:p>
        </w:tc>
        <w:tc>
          <w:tcPr>
            <w:tcW w:w="158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42,9</w:t>
            </w:r>
          </w:p>
        </w:tc>
        <w:tc>
          <w:tcPr>
            <w:tcW w:w="146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90</w:t>
            </w:r>
          </w:p>
        </w:tc>
        <w:tc>
          <w:tcPr>
            <w:tcW w:w="158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56,7</w:t>
            </w:r>
          </w:p>
        </w:tc>
      </w:tr>
      <w:tr w:rsidR="009C489F" w:rsidRPr="009C489F" w:rsidTr="006070F7">
        <w:trPr>
          <w:trHeight w:val="285"/>
        </w:trPr>
        <w:tc>
          <w:tcPr>
            <w:tcW w:w="1400" w:type="dxa"/>
            <w:tcBorders>
              <w:top w:val="nil"/>
              <w:left w:val="single" w:sz="4" w:space="0" w:color="auto"/>
              <w:bottom w:val="nil"/>
              <w:right w:val="single" w:sz="4" w:space="0" w:color="auto"/>
            </w:tcBorders>
            <w:shd w:val="clear" w:color="auto" w:fill="auto"/>
            <w:noWrap/>
            <w:vAlign w:val="center"/>
            <w:hideMark/>
          </w:tcPr>
          <w:p w:rsidR="009C489F" w:rsidRPr="009C489F" w:rsidRDefault="009C489F" w:rsidP="009C489F">
            <w:pPr>
              <w:spacing w:after="0" w:line="240" w:lineRule="auto"/>
              <w:rPr>
                <w:rFonts w:ascii="Arial" w:eastAsia="Times New Roman" w:hAnsi="Arial" w:cs="Arial"/>
                <w:color w:val="000000"/>
                <w:lang w:eastAsia="pl-PL"/>
              </w:rPr>
            </w:pPr>
            <w:r w:rsidRPr="009C489F">
              <w:rPr>
                <w:rFonts w:ascii="Arial" w:eastAsia="Times New Roman" w:hAnsi="Arial" w:cs="Arial"/>
                <w:color w:val="000000"/>
                <w:lang w:eastAsia="pl-PL"/>
              </w:rPr>
              <w:t>8.2.1</w:t>
            </w:r>
          </w:p>
        </w:tc>
        <w:tc>
          <w:tcPr>
            <w:tcW w:w="1294"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4</w:t>
            </w:r>
          </w:p>
        </w:tc>
        <w:tc>
          <w:tcPr>
            <w:tcW w:w="1546"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75,0</w:t>
            </w:r>
          </w:p>
        </w:tc>
        <w:tc>
          <w:tcPr>
            <w:tcW w:w="146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9</w:t>
            </w:r>
          </w:p>
        </w:tc>
        <w:tc>
          <w:tcPr>
            <w:tcW w:w="158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44,4</w:t>
            </w:r>
          </w:p>
        </w:tc>
        <w:tc>
          <w:tcPr>
            <w:tcW w:w="146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2</w:t>
            </w:r>
          </w:p>
        </w:tc>
        <w:tc>
          <w:tcPr>
            <w:tcW w:w="158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50,0</w:t>
            </w:r>
          </w:p>
        </w:tc>
      </w:tr>
      <w:tr w:rsidR="009C489F" w:rsidRPr="009C489F" w:rsidTr="006070F7">
        <w:trPr>
          <w:trHeight w:val="285"/>
        </w:trPr>
        <w:tc>
          <w:tcPr>
            <w:tcW w:w="1400" w:type="dxa"/>
            <w:tcBorders>
              <w:top w:val="nil"/>
              <w:left w:val="single" w:sz="4" w:space="0" w:color="auto"/>
              <w:bottom w:val="nil"/>
              <w:right w:val="single" w:sz="4" w:space="0" w:color="auto"/>
            </w:tcBorders>
            <w:shd w:val="clear" w:color="000000" w:fill="D8E4BC"/>
            <w:noWrap/>
            <w:vAlign w:val="center"/>
            <w:hideMark/>
          </w:tcPr>
          <w:p w:rsidR="009C489F" w:rsidRPr="009C489F" w:rsidRDefault="009C489F" w:rsidP="009C489F">
            <w:pPr>
              <w:spacing w:after="0" w:line="240" w:lineRule="auto"/>
              <w:jc w:val="center"/>
              <w:rPr>
                <w:rFonts w:ascii="Arial" w:eastAsia="Times New Roman" w:hAnsi="Arial" w:cs="Arial"/>
                <w:color w:val="000000"/>
                <w:lang w:eastAsia="pl-PL"/>
              </w:rPr>
            </w:pPr>
            <w:r w:rsidRPr="009C489F">
              <w:rPr>
                <w:rFonts w:ascii="Arial" w:eastAsia="Times New Roman" w:hAnsi="Arial" w:cs="Arial"/>
                <w:color w:val="000000"/>
                <w:lang w:eastAsia="pl-PL"/>
              </w:rPr>
              <w:t>VIII</w:t>
            </w:r>
          </w:p>
        </w:tc>
        <w:tc>
          <w:tcPr>
            <w:tcW w:w="1294" w:type="dxa"/>
            <w:tcBorders>
              <w:top w:val="nil"/>
              <w:left w:val="nil"/>
              <w:bottom w:val="nil"/>
              <w:right w:val="single" w:sz="4" w:space="0" w:color="auto"/>
            </w:tcBorders>
            <w:shd w:val="clear" w:color="000000" w:fill="D8E4BC"/>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18</w:t>
            </w:r>
          </w:p>
        </w:tc>
        <w:tc>
          <w:tcPr>
            <w:tcW w:w="1546" w:type="dxa"/>
            <w:tcBorders>
              <w:top w:val="nil"/>
              <w:left w:val="nil"/>
              <w:bottom w:val="nil"/>
              <w:right w:val="single" w:sz="4" w:space="0" w:color="auto"/>
            </w:tcBorders>
            <w:shd w:val="clear" w:color="000000" w:fill="D8E4BC"/>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27,8</w:t>
            </w:r>
          </w:p>
        </w:tc>
        <w:tc>
          <w:tcPr>
            <w:tcW w:w="1460" w:type="dxa"/>
            <w:tcBorders>
              <w:top w:val="nil"/>
              <w:left w:val="nil"/>
              <w:bottom w:val="nil"/>
              <w:right w:val="single" w:sz="4" w:space="0" w:color="auto"/>
            </w:tcBorders>
            <w:shd w:val="clear" w:color="000000" w:fill="D8E4BC"/>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128</w:t>
            </w:r>
          </w:p>
        </w:tc>
        <w:tc>
          <w:tcPr>
            <w:tcW w:w="1580" w:type="dxa"/>
            <w:tcBorders>
              <w:top w:val="nil"/>
              <w:left w:val="nil"/>
              <w:bottom w:val="nil"/>
              <w:right w:val="single" w:sz="4" w:space="0" w:color="auto"/>
            </w:tcBorders>
            <w:shd w:val="clear" w:color="000000" w:fill="D8E4BC"/>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43,0</w:t>
            </w:r>
          </w:p>
        </w:tc>
        <w:tc>
          <w:tcPr>
            <w:tcW w:w="1460" w:type="dxa"/>
            <w:tcBorders>
              <w:top w:val="nil"/>
              <w:left w:val="nil"/>
              <w:bottom w:val="nil"/>
              <w:right w:val="single" w:sz="4" w:space="0" w:color="auto"/>
            </w:tcBorders>
            <w:shd w:val="clear" w:color="000000" w:fill="D8E4BC"/>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92</w:t>
            </w:r>
          </w:p>
        </w:tc>
        <w:tc>
          <w:tcPr>
            <w:tcW w:w="1580" w:type="dxa"/>
            <w:tcBorders>
              <w:top w:val="nil"/>
              <w:left w:val="nil"/>
              <w:bottom w:val="nil"/>
              <w:right w:val="single" w:sz="4" w:space="0" w:color="auto"/>
            </w:tcBorders>
            <w:shd w:val="clear" w:color="000000" w:fill="D8E4BC"/>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56,5</w:t>
            </w:r>
          </w:p>
        </w:tc>
      </w:tr>
      <w:tr w:rsidR="009C489F" w:rsidRPr="009C489F" w:rsidTr="006070F7">
        <w:trPr>
          <w:trHeight w:val="285"/>
        </w:trPr>
        <w:tc>
          <w:tcPr>
            <w:tcW w:w="1400" w:type="dxa"/>
            <w:tcBorders>
              <w:top w:val="nil"/>
              <w:left w:val="single" w:sz="4" w:space="0" w:color="auto"/>
              <w:bottom w:val="nil"/>
              <w:right w:val="single" w:sz="4" w:space="0" w:color="auto"/>
            </w:tcBorders>
            <w:shd w:val="clear" w:color="auto" w:fill="auto"/>
            <w:noWrap/>
            <w:vAlign w:val="center"/>
            <w:hideMark/>
          </w:tcPr>
          <w:p w:rsidR="009C489F" w:rsidRPr="009C489F" w:rsidRDefault="009C489F" w:rsidP="009C489F">
            <w:pPr>
              <w:spacing w:after="0" w:line="240" w:lineRule="auto"/>
              <w:rPr>
                <w:rFonts w:ascii="Arial" w:eastAsia="Times New Roman" w:hAnsi="Arial" w:cs="Arial"/>
                <w:color w:val="000000"/>
                <w:lang w:eastAsia="pl-PL"/>
              </w:rPr>
            </w:pPr>
            <w:r w:rsidRPr="009C489F">
              <w:rPr>
                <w:rFonts w:ascii="Arial" w:eastAsia="Times New Roman" w:hAnsi="Arial" w:cs="Arial"/>
                <w:color w:val="000000"/>
                <w:lang w:eastAsia="pl-PL"/>
              </w:rPr>
              <w:t>9.3</w:t>
            </w:r>
          </w:p>
        </w:tc>
        <w:tc>
          <w:tcPr>
            <w:tcW w:w="1294"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65</w:t>
            </w:r>
          </w:p>
        </w:tc>
        <w:tc>
          <w:tcPr>
            <w:tcW w:w="1546"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24,6</w:t>
            </w:r>
          </w:p>
        </w:tc>
        <w:tc>
          <w:tcPr>
            <w:tcW w:w="146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46</w:t>
            </w:r>
          </w:p>
        </w:tc>
        <w:tc>
          <w:tcPr>
            <w:tcW w:w="158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41,3</w:t>
            </w:r>
          </w:p>
        </w:tc>
        <w:tc>
          <w:tcPr>
            <w:tcW w:w="146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126</w:t>
            </w:r>
          </w:p>
        </w:tc>
        <w:tc>
          <w:tcPr>
            <w:tcW w:w="158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53,2</w:t>
            </w:r>
          </w:p>
        </w:tc>
      </w:tr>
      <w:tr w:rsidR="009C489F" w:rsidRPr="009C489F" w:rsidTr="006070F7">
        <w:trPr>
          <w:trHeight w:val="285"/>
        </w:trPr>
        <w:tc>
          <w:tcPr>
            <w:tcW w:w="1400" w:type="dxa"/>
            <w:tcBorders>
              <w:top w:val="nil"/>
              <w:left w:val="single" w:sz="4" w:space="0" w:color="auto"/>
              <w:bottom w:val="nil"/>
              <w:right w:val="single" w:sz="4" w:space="0" w:color="auto"/>
            </w:tcBorders>
            <w:shd w:val="clear" w:color="auto" w:fill="auto"/>
            <w:noWrap/>
            <w:vAlign w:val="center"/>
            <w:hideMark/>
          </w:tcPr>
          <w:p w:rsidR="009C489F" w:rsidRPr="009C489F" w:rsidRDefault="009C489F" w:rsidP="009C489F">
            <w:pPr>
              <w:spacing w:after="0" w:line="240" w:lineRule="auto"/>
              <w:rPr>
                <w:rFonts w:ascii="Arial" w:eastAsia="Times New Roman" w:hAnsi="Arial" w:cs="Arial"/>
                <w:color w:val="000000"/>
                <w:lang w:eastAsia="pl-PL"/>
              </w:rPr>
            </w:pPr>
            <w:r w:rsidRPr="009C489F">
              <w:rPr>
                <w:rFonts w:ascii="Arial" w:eastAsia="Times New Roman" w:hAnsi="Arial" w:cs="Arial"/>
                <w:color w:val="000000"/>
                <w:lang w:eastAsia="pl-PL"/>
              </w:rPr>
              <w:t>9.5</w:t>
            </w:r>
          </w:p>
        </w:tc>
        <w:tc>
          <w:tcPr>
            <w:tcW w:w="1294"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89</w:t>
            </w:r>
          </w:p>
        </w:tc>
        <w:tc>
          <w:tcPr>
            <w:tcW w:w="1546"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47,2</w:t>
            </w:r>
          </w:p>
        </w:tc>
        <w:tc>
          <w:tcPr>
            <w:tcW w:w="146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28</w:t>
            </w:r>
          </w:p>
        </w:tc>
        <w:tc>
          <w:tcPr>
            <w:tcW w:w="158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67,9</w:t>
            </w:r>
          </w:p>
        </w:tc>
        <w:tc>
          <w:tcPr>
            <w:tcW w:w="146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0</w:t>
            </w:r>
          </w:p>
        </w:tc>
        <w:tc>
          <w:tcPr>
            <w:tcW w:w="1580" w:type="dxa"/>
            <w:tcBorders>
              <w:top w:val="nil"/>
              <w:left w:val="nil"/>
              <w:bottom w:val="nil"/>
              <w:right w:val="single" w:sz="4" w:space="0" w:color="auto"/>
            </w:tcBorders>
            <w:shd w:val="clear" w:color="auto" w:fill="auto"/>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0,0</w:t>
            </w:r>
          </w:p>
        </w:tc>
      </w:tr>
      <w:tr w:rsidR="009C489F" w:rsidRPr="009C489F" w:rsidTr="006070F7">
        <w:trPr>
          <w:trHeight w:val="285"/>
        </w:trPr>
        <w:tc>
          <w:tcPr>
            <w:tcW w:w="1400" w:type="dxa"/>
            <w:tcBorders>
              <w:top w:val="nil"/>
              <w:left w:val="single" w:sz="4" w:space="0" w:color="auto"/>
              <w:bottom w:val="nil"/>
              <w:right w:val="single" w:sz="4" w:space="0" w:color="auto"/>
            </w:tcBorders>
            <w:shd w:val="clear" w:color="000000" w:fill="D8E4BC"/>
            <w:noWrap/>
            <w:vAlign w:val="center"/>
            <w:hideMark/>
          </w:tcPr>
          <w:p w:rsidR="009C489F" w:rsidRPr="009C489F" w:rsidRDefault="009C489F" w:rsidP="009C489F">
            <w:pPr>
              <w:spacing w:after="0" w:line="240" w:lineRule="auto"/>
              <w:jc w:val="center"/>
              <w:rPr>
                <w:rFonts w:ascii="Arial" w:eastAsia="Times New Roman" w:hAnsi="Arial" w:cs="Arial"/>
                <w:color w:val="000000"/>
                <w:lang w:eastAsia="pl-PL"/>
              </w:rPr>
            </w:pPr>
            <w:r w:rsidRPr="009C489F">
              <w:rPr>
                <w:rFonts w:ascii="Arial" w:eastAsia="Times New Roman" w:hAnsi="Arial" w:cs="Arial"/>
                <w:color w:val="000000"/>
                <w:lang w:eastAsia="pl-PL"/>
              </w:rPr>
              <w:t>IX</w:t>
            </w:r>
          </w:p>
        </w:tc>
        <w:tc>
          <w:tcPr>
            <w:tcW w:w="1294" w:type="dxa"/>
            <w:tcBorders>
              <w:top w:val="nil"/>
              <w:left w:val="nil"/>
              <w:bottom w:val="nil"/>
              <w:right w:val="single" w:sz="4" w:space="0" w:color="auto"/>
            </w:tcBorders>
            <w:shd w:val="clear" w:color="000000" w:fill="D8E4BC"/>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154</w:t>
            </w:r>
          </w:p>
        </w:tc>
        <w:tc>
          <w:tcPr>
            <w:tcW w:w="1546" w:type="dxa"/>
            <w:tcBorders>
              <w:top w:val="nil"/>
              <w:left w:val="nil"/>
              <w:bottom w:val="nil"/>
              <w:right w:val="single" w:sz="4" w:space="0" w:color="auto"/>
            </w:tcBorders>
            <w:shd w:val="clear" w:color="000000" w:fill="D8E4BC"/>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37,7</w:t>
            </w:r>
          </w:p>
        </w:tc>
        <w:tc>
          <w:tcPr>
            <w:tcW w:w="1460" w:type="dxa"/>
            <w:tcBorders>
              <w:top w:val="nil"/>
              <w:left w:val="nil"/>
              <w:bottom w:val="nil"/>
              <w:right w:val="single" w:sz="4" w:space="0" w:color="auto"/>
            </w:tcBorders>
            <w:shd w:val="clear" w:color="000000" w:fill="D8E4BC"/>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74</w:t>
            </w:r>
          </w:p>
        </w:tc>
        <w:tc>
          <w:tcPr>
            <w:tcW w:w="1580" w:type="dxa"/>
            <w:tcBorders>
              <w:top w:val="nil"/>
              <w:left w:val="nil"/>
              <w:bottom w:val="nil"/>
              <w:right w:val="single" w:sz="4" w:space="0" w:color="auto"/>
            </w:tcBorders>
            <w:shd w:val="clear" w:color="000000" w:fill="D8E4BC"/>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51,4</w:t>
            </w:r>
          </w:p>
        </w:tc>
        <w:tc>
          <w:tcPr>
            <w:tcW w:w="1460" w:type="dxa"/>
            <w:tcBorders>
              <w:top w:val="nil"/>
              <w:left w:val="nil"/>
              <w:bottom w:val="nil"/>
              <w:right w:val="single" w:sz="4" w:space="0" w:color="auto"/>
            </w:tcBorders>
            <w:shd w:val="clear" w:color="000000" w:fill="D8E4BC"/>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126</w:t>
            </w:r>
          </w:p>
        </w:tc>
        <w:tc>
          <w:tcPr>
            <w:tcW w:w="1580" w:type="dxa"/>
            <w:tcBorders>
              <w:top w:val="nil"/>
              <w:left w:val="nil"/>
              <w:bottom w:val="nil"/>
              <w:right w:val="single" w:sz="4" w:space="0" w:color="auto"/>
            </w:tcBorders>
            <w:shd w:val="clear" w:color="000000" w:fill="D8E4BC"/>
            <w:noWrap/>
            <w:vAlign w:val="bottom"/>
            <w:hideMark/>
          </w:tcPr>
          <w:p w:rsidR="009C489F" w:rsidRPr="009C489F" w:rsidRDefault="009C489F" w:rsidP="009C489F">
            <w:pPr>
              <w:spacing w:after="0" w:line="240" w:lineRule="auto"/>
              <w:jc w:val="right"/>
              <w:rPr>
                <w:rFonts w:ascii="Arial" w:eastAsia="Times New Roman" w:hAnsi="Arial" w:cs="Arial"/>
                <w:color w:val="000000"/>
                <w:lang w:eastAsia="pl-PL"/>
              </w:rPr>
            </w:pPr>
            <w:r w:rsidRPr="009C489F">
              <w:rPr>
                <w:rFonts w:ascii="Arial" w:eastAsia="Times New Roman" w:hAnsi="Arial" w:cs="Arial"/>
                <w:color w:val="000000"/>
                <w:lang w:eastAsia="pl-PL"/>
              </w:rPr>
              <w:t>53,2</w:t>
            </w:r>
          </w:p>
        </w:tc>
      </w:tr>
      <w:tr w:rsidR="009C489F" w:rsidRPr="009C489F" w:rsidTr="006070F7">
        <w:trPr>
          <w:trHeight w:val="285"/>
        </w:trPr>
        <w:tc>
          <w:tcPr>
            <w:tcW w:w="1400" w:type="dxa"/>
            <w:tcBorders>
              <w:top w:val="single" w:sz="4" w:space="0" w:color="auto"/>
              <w:left w:val="single" w:sz="4" w:space="0" w:color="auto"/>
              <w:bottom w:val="single" w:sz="4" w:space="0" w:color="auto"/>
              <w:right w:val="single" w:sz="4" w:space="0" w:color="auto"/>
            </w:tcBorders>
            <w:shd w:val="clear" w:color="000000" w:fill="9BBB59"/>
            <w:noWrap/>
            <w:vAlign w:val="center"/>
            <w:hideMark/>
          </w:tcPr>
          <w:p w:rsidR="009C489F" w:rsidRPr="009C489F" w:rsidRDefault="009C489F" w:rsidP="009C489F">
            <w:pPr>
              <w:spacing w:after="0" w:line="240" w:lineRule="auto"/>
              <w:jc w:val="center"/>
              <w:rPr>
                <w:rFonts w:ascii="Arial" w:eastAsia="Times New Roman" w:hAnsi="Arial" w:cs="Arial"/>
                <w:color w:val="FFFFFF"/>
                <w:lang w:eastAsia="pl-PL"/>
              </w:rPr>
            </w:pPr>
            <w:r w:rsidRPr="009C489F">
              <w:rPr>
                <w:rFonts w:ascii="Arial" w:eastAsia="Times New Roman" w:hAnsi="Arial" w:cs="Arial"/>
                <w:color w:val="FFFFFF"/>
                <w:lang w:eastAsia="pl-PL"/>
              </w:rPr>
              <w:t>ogółem</w:t>
            </w:r>
          </w:p>
        </w:tc>
        <w:tc>
          <w:tcPr>
            <w:tcW w:w="1294" w:type="dxa"/>
            <w:tcBorders>
              <w:top w:val="single" w:sz="4" w:space="0" w:color="auto"/>
              <w:left w:val="nil"/>
              <w:bottom w:val="single" w:sz="4" w:space="0" w:color="auto"/>
              <w:right w:val="single" w:sz="4" w:space="0" w:color="auto"/>
            </w:tcBorders>
            <w:shd w:val="clear" w:color="000000" w:fill="9BBB59"/>
            <w:noWrap/>
            <w:vAlign w:val="bottom"/>
            <w:hideMark/>
          </w:tcPr>
          <w:p w:rsidR="009C489F" w:rsidRPr="009C489F" w:rsidRDefault="009C489F" w:rsidP="009C489F">
            <w:pPr>
              <w:spacing w:after="0" w:line="240" w:lineRule="auto"/>
              <w:jc w:val="right"/>
              <w:rPr>
                <w:rFonts w:ascii="Arial" w:eastAsia="Times New Roman" w:hAnsi="Arial" w:cs="Arial"/>
                <w:color w:val="FFFFFF"/>
                <w:lang w:eastAsia="pl-PL"/>
              </w:rPr>
            </w:pPr>
            <w:r w:rsidRPr="009C489F">
              <w:rPr>
                <w:rFonts w:ascii="Arial" w:eastAsia="Times New Roman" w:hAnsi="Arial" w:cs="Arial"/>
                <w:color w:val="FFFFFF"/>
                <w:lang w:eastAsia="pl-PL"/>
              </w:rPr>
              <w:t>6 602</w:t>
            </w:r>
          </w:p>
        </w:tc>
        <w:tc>
          <w:tcPr>
            <w:tcW w:w="1546" w:type="dxa"/>
            <w:tcBorders>
              <w:top w:val="single" w:sz="4" w:space="0" w:color="auto"/>
              <w:left w:val="nil"/>
              <w:bottom w:val="single" w:sz="4" w:space="0" w:color="auto"/>
              <w:right w:val="single" w:sz="4" w:space="0" w:color="auto"/>
            </w:tcBorders>
            <w:shd w:val="clear" w:color="000000" w:fill="9BBB59"/>
            <w:noWrap/>
            <w:vAlign w:val="bottom"/>
            <w:hideMark/>
          </w:tcPr>
          <w:p w:rsidR="009C489F" w:rsidRPr="009C489F" w:rsidRDefault="009C489F" w:rsidP="009C489F">
            <w:pPr>
              <w:spacing w:after="0" w:line="240" w:lineRule="auto"/>
              <w:jc w:val="right"/>
              <w:rPr>
                <w:rFonts w:ascii="Arial" w:eastAsia="Times New Roman" w:hAnsi="Arial" w:cs="Arial"/>
                <w:color w:val="FFFFFF"/>
                <w:lang w:eastAsia="pl-PL"/>
              </w:rPr>
            </w:pPr>
            <w:r w:rsidRPr="009C489F">
              <w:rPr>
                <w:rFonts w:ascii="Arial" w:eastAsia="Times New Roman" w:hAnsi="Arial" w:cs="Arial"/>
                <w:color w:val="FFFFFF"/>
                <w:lang w:eastAsia="pl-PL"/>
              </w:rPr>
              <w:t>58,0</w:t>
            </w:r>
          </w:p>
        </w:tc>
        <w:tc>
          <w:tcPr>
            <w:tcW w:w="1460" w:type="dxa"/>
            <w:tcBorders>
              <w:top w:val="single" w:sz="4" w:space="0" w:color="auto"/>
              <w:left w:val="nil"/>
              <w:bottom w:val="single" w:sz="4" w:space="0" w:color="auto"/>
              <w:right w:val="single" w:sz="4" w:space="0" w:color="auto"/>
            </w:tcBorders>
            <w:shd w:val="clear" w:color="000000" w:fill="9BBB59"/>
            <w:noWrap/>
            <w:vAlign w:val="bottom"/>
            <w:hideMark/>
          </w:tcPr>
          <w:p w:rsidR="009C489F" w:rsidRPr="009C489F" w:rsidRDefault="009C489F" w:rsidP="009C489F">
            <w:pPr>
              <w:spacing w:after="0" w:line="240" w:lineRule="auto"/>
              <w:jc w:val="right"/>
              <w:rPr>
                <w:rFonts w:ascii="Arial" w:eastAsia="Times New Roman" w:hAnsi="Arial" w:cs="Arial"/>
                <w:color w:val="FFFFFF"/>
                <w:lang w:eastAsia="pl-PL"/>
              </w:rPr>
            </w:pPr>
            <w:r w:rsidRPr="009C489F">
              <w:rPr>
                <w:rFonts w:ascii="Arial" w:eastAsia="Times New Roman" w:hAnsi="Arial" w:cs="Arial"/>
                <w:color w:val="FFFFFF"/>
                <w:lang w:eastAsia="pl-PL"/>
              </w:rPr>
              <w:t>8 186</w:t>
            </w:r>
          </w:p>
        </w:tc>
        <w:tc>
          <w:tcPr>
            <w:tcW w:w="1580" w:type="dxa"/>
            <w:tcBorders>
              <w:top w:val="single" w:sz="4" w:space="0" w:color="auto"/>
              <w:left w:val="nil"/>
              <w:bottom w:val="single" w:sz="4" w:space="0" w:color="auto"/>
              <w:right w:val="single" w:sz="4" w:space="0" w:color="auto"/>
            </w:tcBorders>
            <w:shd w:val="clear" w:color="000000" w:fill="9BBB59"/>
            <w:noWrap/>
            <w:vAlign w:val="bottom"/>
            <w:hideMark/>
          </w:tcPr>
          <w:p w:rsidR="009C489F" w:rsidRPr="009C489F" w:rsidRDefault="009C489F" w:rsidP="009C489F">
            <w:pPr>
              <w:spacing w:after="0" w:line="240" w:lineRule="auto"/>
              <w:jc w:val="right"/>
              <w:rPr>
                <w:rFonts w:ascii="Arial" w:eastAsia="Times New Roman" w:hAnsi="Arial" w:cs="Arial"/>
                <w:color w:val="FFFFFF"/>
                <w:lang w:eastAsia="pl-PL"/>
              </w:rPr>
            </w:pPr>
            <w:r w:rsidRPr="009C489F">
              <w:rPr>
                <w:rFonts w:ascii="Arial" w:eastAsia="Times New Roman" w:hAnsi="Arial" w:cs="Arial"/>
                <w:color w:val="FFFFFF"/>
                <w:lang w:eastAsia="pl-PL"/>
              </w:rPr>
              <w:t>58,1</w:t>
            </w:r>
          </w:p>
        </w:tc>
        <w:tc>
          <w:tcPr>
            <w:tcW w:w="1460" w:type="dxa"/>
            <w:tcBorders>
              <w:top w:val="single" w:sz="4" w:space="0" w:color="auto"/>
              <w:left w:val="nil"/>
              <w:bottom w:val="single" w:sz="4" w:space="0" w:color="auto"/>
              <w:right w:val="single" w:sz="4" w:space="0" w:color="auto"/>
            </w:tcBorders>
            <w:shd w:val="clear" w:color="000000" w:fill="9BBB59"/>
            <w:noWrap/>
            <w:vAlign w:val="bottom"/>
            <w:hideMark/>
          </w:tcPr>
          <w:p w:rsidR="009C489F" w:rsidRPr="009C489F" w:rsidRDefault="009C489F" w:rsidP="009C489F">
            <w:pPr>
              <w:spacing w:after="0" w:line="240" w:lineRule="auto"/>
              <w:jc w:val="right"/>
              <w:rPr>
                <w:rFonts w:ascii="Arial" w:eastAsia="Times New Roman" w:hAnsi="Arial" w:cs="Arial"/>
                <w:color w:val="FFFFFF"/>
                <w:lang w:eastAsia="pl-PL"/>
              </w:rPr>
            </w:pPr>
            <w:r w:rsidRPr="009C489F">
              <w:rPr>
                <w:rFonts w:ascii="Arial" w:eastAsia="Times New Roman" w:hAnsi="Arial" w:cs="Arial"/>
                <w:color w:val="FFFFFF"/>
                <w:lang w:eastAsia="pl-PL"/>
              </w:rPr>
              <w:t>4 120</w:t>
            </w:r>
          </w:p>
        </w:tc>
        <w:tc>
          <w:tcPr>
            <w:tcW w:w="1580" w:type="dxa"/>
            <w:tcBorders>
              <w:top w:val="single" w:sz="4" w:space="0" w:color="auto"/>
              <w:left w:val="nil"/>
              <w:bottom w:val="single" w:sz="4" w:space="0" w:color="auto"/>
              <w:right w:val="single" w:sz="4" w:space="0" w:color="auto"/>
            </w:tcBorders>
            <w:shd w:val="clear" w:color="000000" w:fill="9BBB59"/>
            <w:noWrap/>
            <w:vAlign w:val="bottom"/>
            <w:hideMark/>
          </w:tcPr>
          <w:p w:rsidR="009C489F" w:rsidRPr="009C489F" w:rsidRDefault="009C489F" w:rsidP="009C489F">
            <w:pPr>
              <w:spacing w:after="0" w:line="240" w:lineRule="auto"/>
              <w:jc w:val="right"/>
              <w:rPr>
                <w:rFonts w:ascii="Arial" w:eastAsia="Times New Roman" w:hAnsi="Arial" w:cs="Arial"/>
                <w:color w:val="FFFFFF"/>
                <w:lang w:eastAsia="pl-PL"/>
              </w:rPr>
            </w:pPr>
            <w:r w:rsidRPr="009C489F">
              <w:rPr>
                <w:rFonts w:ascii="Arial" w:eastAsia="Times New Roman" w:hAnsi="Arial" w:cs="Arial"/>
                <w:color w:val="FFFFFF"/>
                <w:lang w:eastAsia="pl-PL"/>
              </w:rPr>
              <w:t>56,7</w:t>
            </w:r>
          </w:p>
        </w:tc>
      </w:tr>
    </w:tbl>
    <w:p w:rsidR="004D52CF" w:rsidRDefault="001C6EE1" w:rsidP="009C489F">
      <w:pPr>
        <w:ind w:left="-709" w:firstLine="709"/>
      </w:pPr>
      <w:r>
        <w:t xml:space="preserve">* </w:t>
      </w:r>
      <w:r w:rsidRPr="001C6EE1">
        <w:t>Dane wygenerowane z bazy PEFS 2007 dnia 03.07.2012 r</w:t>
      </w:r>
    </w:p>
    <w:p w:rsidR="00B1193D" w:rsidRDefault="00B1193D" w:rsidP="000B1E49">
      <w:pPr>
        <w:spacing w:line="360" w:lineRule="auto"/>
        <w:ind w:firstLine="708"/>
        <w:jc w:val="both"/>
        <w:rPr>
          <w:rFonts w:ascii="Times New Roman" w:hAnsi="Times New Roman" w:cs="Times New Roman"/>
          <w:sz w:val="24"/>
          <w:szCs w:val="24"/>
        </w:rPr>
      </w:pPr>
    </w:p>
    <w:p w:rsidR="00391B5A" w:rsidRDefault="00391B5A" w:rsidP="000B1E49">
      <w:pPr>
        <w:spacing w:line="360" w:lineRule="auto"/>
        <w:ind w:firstLine="708"/>
        <w:jc w:val="both"/>
        <w:rPr>
          <w:rFonts w:ascii="Times New Roman" w:hAnsi="Times New Roman" w:cs="Times New Roman"/>
          <w:sz w:val="24"/>
          <w:szCs w:val="24"/>
        </w:rPr>
      </w:pPr>
    </w:p>
    <w:p w:rsidR="00391B5A" w:rsidRDefault="00391B5A" w:rsidP="00D01619">
      <w:pPr>
        <w:spacing w:line="360" w:lineRule="auto"/>
        <w:jc w:val="both"/>
        <w:rPr>
          <w:rFonts w:ascii="Times New Roman" w:hAnsi="Times New Roman" w:cs="Times New Roman"/>
          <w:sz w:val="24"/>
          <w:szCs w:val="24"/>
        </w:rPr>
      </w:pPr>
    </w:p>
    <w:p w:rsidR="004D52CF" w:rsidRDefault="000B1E49" w:rsidP="00D0161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Aktywizacja zawodowa osób powyżej 45 roku życia, to jeden z celów Europejskiego Funduszu Społecznego. </w:t>
      </w:r>
      <w:r w:rsidR="000B669A">
        <w:rPr>
          <w:rFonts w:ascii="Times New Roman" w:hAnsi="Times New Roman" w:cs="Times New Roman"/>
          <w:sz w:val="24"/>
          <w:szCs w:val="24"/>
        </w:rPr>
        <w:t xml:space="preserve">EFS finansuje </w:t>
      </w:r>
      <w:r w:rsidR="003B3D53">
        <w:rPr>
          <w:rFonts w:ascii="Times New Roman" w:hAnsi="Times New Roman" w:cs="Times New Roman"/>
          <w:sz w:val="24"/>
          <w:szCs w:val="24"/>
        </w:rPr>
        <w:t xml:space="preserve">między innymi </w:t>
      </w:r>
      <w:r w:rsidR="000B669A">
        <w:rPr>
          <w:rFonts w:ascii="Times New Roman" w:hAnsi="Times New Roman" w:cs="Times New Roman"/>
          <w:sz w:val="24"/>
          <w:szCs w:val="24"/>
        </w:rPr>
        <w:t>szkolenia</w:t>
      </w:r>
      <w:r w:rsidR="00B1193D" w:rsidRPr="00B1193D">
        <w:rPr>
          <w:rFonts w:ascii="Times New Roman" w:hAnsi="Times New Roman" w:cs="Times New Roman"/>
          <w:sz w:val="24"/>
          <w:szCs w:val="24"/>
        </w:rPr>
        <w:t xml:space="preserve"> </w:t>
      </w:r>
      <w:r w:rsidR="00B1193D">
        <w:rPr>
          <w:rFonts w:ascii="Times New Roman" w:hAnsi="Times New Roman" w:cs="Times New Roman"/>
          <w:sz w:val="24"/>
          <w:szCs w:val="24"/>
        </w:rPr>
        <w:t>uzupełniając</w:t>
      </w:r>
      <w:r w:rsidR="00391B5A">
        <w:rPr>
          <w:rFonts w:ascii="Times New Roman" w:hAnsi="Times New Roman" w:cs="Times New Roman"/>
          <w:sz w:val="24"/>
          <w:szCs w:val="24"/>
        </w:rPr>
        <w:t>e</w:t>
      </w:r>
      <w:r w:rsidR="00B1193D">
        <w:rPr>
          <w:rFonts w:ascii="Times New Roman" w:hAnsi="Times New Roman" w:cs="Times New Roman"/>
          <w:sz w:val="24"/>
          <w:szCs w:val="24"/>
        </w:rPr>
        <w:t xml:space="preserve"> wiedzę </w:t>
      </w:r>
      <w:r w:rsidR="00391B5A">
        <w:rPr>
          <w:rFonts w:ascii="Times New Roman" w:hAnsi="Times New Roman" w:cs="Times New Roman"/>
          <w:sz w:val="24"/>
          <w:szCs w:val="24"/>
        </w:rPr>
        <w:br/>
      </w:r>
      <w:r w:rsidR="00B1193D">
        <w:rPr>
          <w:rFonts w:ascii="Times New Roman" w:hAnsi="Times New Roman" w:cs="Times New Roman"/>
          <w:sz w:val="24"/>
          <w:szCs w:val="24"/>
        </w:rPr>
        <w:t xml:space="preserve">i </w:t>
      </w:r>
      <w:r w:rsidR="00391B5A">
        <w:rPr>
          <w:rFonts w:ascii="Times New Roman" w:hAnsi="Times New Roman" w:cs="Times New Roman"/>
          <w:sz w:val="24"/>
          <w:szCs w:val="24"/>
        </w:rPr>
        <w:t xml:space="preserve">pomagające </w:t>
      </w:r>
      <w:r w:rsidR="00B1193D">
        <w:rPr>
          <w:rFonts w:ascii="Times New Roman" w:hAnsi="Times New Roman" w:cs="Times New Roman"/>
          <w:sz w:val="24"/>
          <w:szCs w:val="24"/>
        </w:rPr>
        <w:t>zmieni</w:t>
      </w:r>
      <w:r w:rsidR="00391B5A">
        <w:rPr>
          <w:rFonts w:ascii="Times New Roman" w:hAnsi="Times New Roman" w:cs="Times New Roman"/>
          <w:sz w:val="24"/>
          <w:szCs w:val="24"/>
        </w:rPr>
        <w:t>ć</w:t>
      </w:r>
      <w:r w:rsidR="00B1193D">
        <w:rPr>
          <w:rFonts w:ascii="Times New Roman" w:hAnsi="Times New Roman" w:cs="Times New Roman"/>
          <w:sz w:val="24"/>
          <w:szCs w:val="24"/>
        </w:rPr>
        <w:t xml:space="preserve"> kwalifikacje zawodowe</w:t>
      </w:r>
      <w:r w:rsidR="000B669A">
        <w:rPr>
          <w:rFonts w:ascii="Times New Roman" w:hAnsi="Times New Roman" w:cs="Times New Roman"/>
          <w:sz w:val="24"/>
          <w:szCs w:val="24"/>
        </w:rPr>
        <w:t xml:space="preserve">, kursy, doradztwo zawodowe i programy powrotu na rynek pracy. </w:t>
      </w:r>
      <w:r w:rsidR="00391B5A">
        <w:rPr>
          <w:rFonts w:ascii="Times New Roman" w:hAnsi="Times New Roman" w:cs="Times New Roman"/>
          <w:sz w:val="24"/>
          <w:szCs w:val="24"/>
        </w:rPr>
        <w:t xml:space="preserve">Realizowane są także działania promujące przedsiębiorczość a osoby bezrobotne mają możliwość pozyskania jednorazowych dotacji na założenie własnej firmy. </w:t>
      </w:r>
      <w:r w:rsidR="00004C73">
        <w:rPr>
          <w:rFonts w:ascii="Times New Roman" w:hAnsi="Times New Roman" w:cs="Times New Roman"/>
          <w:sz w:val="24"/>
          <w:szCs w:val="24"/>
        </w:rPr>
        <w:t xml:space="preserve"> </w:t>
      </w:r>
    </w:p>
    <w:p w:rsidR="00391B5A" w:rsidRDefault="00D01619" w:rsidP="00D0161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Szczegółowe dane dotyczące osób bezrobotnych w wieku powyżej 45 roku życia, które rozpoczęły udział w projektach w ramach poszczególnych Działań i Poddziałań PO KL</w:t>
      </w:r>
      <w:r w:rsidR="0081175F">
        <w:rPr>
          <w:rFonts w:ascii="Times New Roman" w:hAnsi="Times New Roman" w:cs="Times New Roman"/>
          <w:sz w:val="24"/>
          <w:szCs w:val="24"/>
        </w:rPr>
        <w:t>, w latach 2009-2011,</w:t>
      </w:r>
      <w:r>
        <w:rPr>
          <w:rFonts w:ascii="Times New Roman" w:hAnsi="Times New Roman" w:cs="Times New Roman"/>
          <w:sz w:val="24"/>
          <w:szCs w:val="24"/>
        </w:rPr>
        <w:t xml:space="preserve"> prezentuje Tabela 2.</w:t>
      </w:r>
    </w:p>
    <w:p w:rsidR="00D01619" w:rsidRPr="00252BFF" w:rsidRDefault="00D01619" w:rsidP="00D01619">
      <w:pPr>
        <w:spacing w:after="0" w:line="360" w:lineRule="auto"/>
        <w:ind w:firstLine="709"/>
        <w:jc w:val="both"/>
        <w:rPr>
          <w:rFonts w:ascii="Times New Roman" w:hAnsi="Times New Roman" w:cs="Times New Roman"/>
          <w:sz w:val="24"/>
          <w:szCs w:val="24"/>
        </w:rPr>
      </w:pPr>
    </w:p>
    <w:p w:rsidR="004D52CF" w:rsidRDefault="00C127D6" w:rsidP="003C3ADF">
      <w:r>
        <w:t>Tabela 2. Liczba osób bezrobotnych w wieku 45-60/65 lat, które w latach 2009-2011 rozpoczęły udz</w:t>
      </w:r>
      <w:r w:rsidR="001C6EE1">
        <w:t>iał w projektach w ramach PO KL*</w:t>
      </w:r>
    </w:p>
    <w:tbl>
      <w:tblPr>
        <w:tblW w:w="10206" w:type="dxa"/>
        <w:tblInd w:w="-497" w:type="dxa"/>
        <w:tblCellMar>
          <w:left w:w="70" w:type="dxa"/>
          <w:right w:w="70" w:type="dxa"/>
        </w:tblCellMar>
        <w:tblLook w:val="04A0" w:firstRow="1" w:lastRow="0" w:firstColumn="1" w:lastColumn="0" w:noHBand="0" w:noVBand="1"/>
      </w:tblPr>
      <w:tblGrid>
        <w:gridCol w:w="1400"/>
        <w:gridCol w:w="1143"/>
        <w:gridCol w:w="1852"/>
        <w:gridCol w:w="1028"/>
        <w:gridCol w:w="1807"/>
        <w:gridCol w:w="1134"/>
        <w:gridCol w:w="1842"/>
      </w:tblGrid>
      <w:tr w:rsidR="005136E9" w:rsidRPr="005136E9" w:rsidTr="006070F7">
        <w:trPr>
          <w:trHeight w:val="285"/>
        </w:trPr>
        <w:tc>
          <w:tcPr>
            <w:tcW w:w="1400" w:type="dxa"/>
            <w:vMerge w:val="restart"/>
            <w:tcBorders>
              <w:top w:val="single" w:sz="4" w:space="0" w:color="auto"/>
              <w:left w:val="single" w:sz="4" w:space="0" w:color="auto"/>
              <w:bottom w:val="single" w:sz="4" w:space="0" w:color="auto"/>
              <w:right w:val="single" w:sz="4" w:space="0" w:color="auto"/>
            </w:tcBorders>
            <w:shd w:val="clear" w:color="000000" w:fill="8064A2"/>
            <w:vAlign w:val="center"/>
            <w:hideMark/>
          </w:tcPr>
          <w:p w:rsidR="005136E9" w:rsidRPr="005136E9" w:rsidRDefault="005136E9" w:rsidP="005136E9">
            <w:pPr>
              <w:spacing w:after="0" w:line="240" w:lineRule="auto"/>
              <w:jc w:val="center"/>
              <w:rPr>
                <w:rFonts w:ascii="Arial" w:eastAsia="Times New Roman" w:hAnsi="Arial" w:cs="Arial"/>
                <w:color w:val="FFFFFF"/>
                <w:lang w:eastAsia="pl-PL"/>
              </w:rPr>
            </w:pPr>
            <w:r w:rsidRPr="005136E9">
              <w:rPr>
                <w:rFonts w:ascii="Arial" w:eastAsia="Times New Roman" w:hAnsi="Arial" w:cs="Arial"/>
                <w:color w:val="FFFFFF"/>
                <w:lang w:eastAsia="pl-PL"/>
              </w:rPr>
              <w:t>Działanie/</w:t>
            </w:r>
            <w:r w:rsidRPr="005136E9">
              <w:rPr>
                <w:rFonts w:ascii="Arial" w:eastAsia="Times New Roman" w:hAnsi="Arial" w:cs="Arial"/>
                <w:color w:val="FFFFFF"/>
                <w:lang w:eastAsia="pl-PL"/>
              </w:rPr>
              <w:br/>
              <w:t>Poddziałanie</w:t>
            </w:r>
          </w:p>
        </w:tc>
        <w:tc>
          <w:tcPr>
            <w:tcW w:w="8806" w:type="dxa"/>
            <w:gridSpan w:val="6"/>
            <w:tcBorders>
              <w:top w:val="single" w:sz="4" w:space="0" w:color="auto"/>
              <w:left w:val="nil"/>
              <w:bottom w:val="single" w:sz="4" w:space="0" w:color="auto"/>
              <w:right w:val="single" w:sz="4" w:space="0" w:color="auto"/>
            </w:tcBorders>
            <w:shd w:val="clear" w:color="000000" w:fill="8064A2"/>
            <w:noWrap/>
            <w:vAlign w:val="center"/>
            <w:hideMark/>
          </w:tcPr>
          <w:p w:rsidR="005136E9" w:rsidRPr="005136E9" w:rsidRDefault="005136E9" w:rsidP="005136E9">
            <w:pPr>
              <w:spacing w:after="0" w:line="240" w:lineRule="auto"/>
              <w:jc w:val="center"/>
              <w:rPr>
                <w:rFonts w:ascii="Arial" w:eastAsia="Times New Roman" w:hAnsi="Arial" w:cs="Arial"/>
                <w:color w:val="FFFFFF"/>
                <w:lang w:eastAsia="pl-PL"/>
              </w:rPr>
            </w:pPr>
            <w:r w:rsidRPr="005136E9">
              <w:rPr>
                <w:rFonts w:ascii="Arial" w:eastAsia="Times New Roman" w:hAnsi="Arial" w:cs="Arial"/>
                <w:color w:val="FFFFFF"/>
                <w:lang w:eastAsia="pl-PL"/>
              </w:rPr>
              <w:t>Liczba bezrobotnych w wieku 45 - 60/65 lat</w:t>
            </w:r>
          </w:p>
        </w:tc>
      </w:tr>
      <w:tr w:rsidR="005136E9" w:rsidRPr="005136E9" w:rsidTr="006070F7">
        <w:trPr>
          <w:trHeight w:val="555"/>
        </w:trPr>
        <w:tc>
          <w:tcPr>
            <w:tcW w:w="1400" w:type="dxa"/>
            <w:vMerge/>
            <w:tcBorders>
              <w:top w:val="single" w:sz="4" w:space="0" w:color="auto"/>
              <w:left w:val="single" w:sz="4" w:space="0" w:color="auto"/>
              <w:bottom w:val="single" w:sz="4" w:space="0" w:color="auto"/>
              <w:right w:val="single" w:sz="4" w:space="0" w:color="auto"/>
            </w:tcBorders>
            <w:vAlign w:val="center"/>
            <w:hideMark/>
          </w:tcPr>
          <w:p w:rsidR="005136E9" w:rsidRPr="005136E9" w:rsidRDefault="005136E9" w:rsidP="005136E9">
            <w:pPr>
              <w:spacing w:after="0" w:line="240" w:lineRule="auto"/>
              <w:rPr>
                <w:rFonts w:ascii="Arial" w:eastAsia="Times New Roman" w:hAnsi="Arial" w:cs="Arial"/>
                <w:color w:val="FFFFFF"/>
                <w:lang w:eastAsia="pl-PL"/>
              </w:rPr>
            </w:pPr>
          </w:p>
        </w:tc>
        <w:tc>
          <w:tcPr>
            <w:tcW w:w="2995" w:type="dxa"/>
            <w:gridSpan w:val="2"/>
            <w:tcBorders>
              <w:top w:val="single" w:sz="4" w:space="0" w:color="auto"/>
              <w:left w:val="nil"/>
              <w:bottom w:val="single" w:sz="4" w:space="0" w:color="auto"/>
              <w:right w:val="single" w:sz="4" w:space="0" w:color="auto"/>
            </w:tcBorders>
            <w:shd w:val="clear" w:color="000000" w:fill="8064A2"/>
            <w:noWrap/>
            <w:vAlign w:val="center"/>
            <w:hideMark/>
          </w:tcPr>
          <w:p w:rsidR="005136E9" w:rsidRPr="005136E9" w:rsidRDefault="005136E9" w:rsidP="005136E9">
            <w:pPr>
              <w:spacing w:after="0" w:line="240" w:lineRule="auto"/>
              <w:jc w:val="center"/>
              <w:rPr>
                <w:rFonts w:ascii="Arial" w:eastAsia="Times New Roman" w:hAnsi="Arial" w:cs="Arial"/>
                <w:color w:val="FFFFFF"/>
                <w:lang w:eastAsia="pl-PL"/>
              </w:rPr>
            </w:pPr>
            <w:r w:rsidRPr="005136E9">
              <w:rPr>
                <w:rFonts w:ascii="Arial" w:eastAsia="Times New Roman" w:hAnsi="Arial" w:cs="Arial"/>
                <w:color w:val="FFFFFF"/>
                <w:lang w:eastAsia="pl-PL"/>
              </w:rPr>
              <w:t>2009 r.</w:t>
            </w:r>
          </w:p>
        </w:tc>
        <w:tc>
          <w:tcPr>
            <w:tcW w:w="2835" w:type="dxa"/>
            <w:gridSpan w:val="2"/>
            <w:tcBorders>
              <w:top w:val="single" w:sz="4" w:space="0" w:color="auto"/>
              <w:left w:val="nil"/>
              <w:bottom w:val="single" w:sz="4" w:space="0" w:color="auto"/>
              <w:right w:val="single" w:sz="4" w:space="0" w:color="auto"/>
            </w:tcBorders>
            <w:shd w:val="clear" w:color="000000" w:fill="8064A2"/>
            <w:noWrap/>
            <w:vAlign w:val="center"/>
            <w:hideMark/>
          </w:tcPr>
          <w:p w:rsidR="005136E9" w:rsidRPr="005136E9" w:rsidRDefault="005136E9" w:rsidP="005136E9">
            <w:pPr>
              <w:spacing w:after="0" w:line="240" w:lineRule="auto"/>
              <w:jc w:val="center"/>
              <w:rPr>
                <w:rFonts w:ascii="Arial" w:eastAsia="Times New Roman" w:hAnsi="Arial" w:cs="Arial"/>
                <w:color w:val="FFFFFF"/>
                <w:lang w:eastAsia="pl-PL"/>
              </w:rPr>
            </w:pPr>
            <w:r w:rsidRPr="005136E9">
              <w:rPr>
                <w:rFonts w:ascii="Arial" w:eastAsia="Times New Roman" w:hAnsi="Arial" w:cs="Arial"/>
                <w:color w:val="FFFFFF"/>
                <w:lang w:eastAsia="pl-PL"/>
              </w:rPr>
              <w:t>2010 r.</w:t>
            </w:r>
          </w:p>
        </w:tc>
        <w:tc>
          <w:tcPr>
            <w:tcW w:w="2976" w:type="dxa"/>
            <w:gridSpan w:val="2"/>
            <w:tcBorders>
              <w:top w:val="single" w:sz="4" w:space="0" w:color="auto"/>
              <w:left w:val="nil"/>
              <w:bottom w:val="single" w:sz="4" w:space="0" w:color="auto"/>
              <w:right w:val="single" w:sz="4" w:space="0" w:color="auto"/>
            </w:tcBorders>
            <w:shd w:val="clear" w:color="000000" w:fill="8064A2"/>
            <w:noWrap/>
            <w:vAlign w:val="center"/>
            <w:hideMark/>
          </w:tcPr>
          <w:p w:rsidR="005136E9" w:rsidRPr="005136E9" w:rsidRDefault="005136E9" w:rsidP="005136E9">
            <w:pPr>
              <w:spacing w:after="0" w:line="240" w:lineRule="auto"/>
              <w:jc w:val="center"/>
              <w:rPr>
                <w:rFonts w:ascii="Arial" w:eastAsia="Times New Roman" w:hAnsi="Arial" w:cs="Arial"/>
                <w:color w:val="FFFFFF"/>
                <w:lang w:eastAsia="pl-PL"/>
              </w:rPr>
            </w:pPr>
            <w:r w:rsidRPr="005136E9">
              <w:rPr>
                <w:rFonts w:ascii="Arial" w:eastAsia="Times New Roman" w:hAnsi="Arial" w:cs="Arial"/>
                <w:color w:val="FFFFFF"/>
                <w:lang w:eastAsia="pl-PL"/>
              </w:rPr>
              <w:t>2011 r.</w:t>
            </w:r>
          </w:p>
        </w:tc>
      </w:tr>
      <w:tr w:rsidR="005136E9" w:rsidRPr="005136E9" w:rsidTr="006070F7">
        <w:trPr>
          <w:trHeight w:val="660"/>
        </w:trPr>
        <w:tc>
          <w:tcPr>
            <w:tcW w:w="1400" w:type="dxa"/>
            <w:vMerge/>
            <w:tcBorders>
              <w:top w:val="single" w:sz="4" w:space="0" w:color="auto"/>
              <w:left w:val="single" w:sz="4" w:space="0" w:color="auto"/>
              <w:bottom w:val="single" w:sz="4" w:space="0" w:color="auto"/>
              <w:right w:val="single" w:sz="4" w:space="0" w:color="auto"/>
            </w:tcBorders>
            <w:vAlign w:val="center"/>
            <w:hideMark/>
          </w:tcPr>
          <w:p w:rsidR="005136E9" w:rsidRPr="005136E9" w:rsidRDefault="005136E9" w:rsidP="005136E9">
            <w:pPr>
              <w:spacing w:after="0" w:line="240" w:lineRule="auto"/>
              <w:rPr>
                <w:rFonts w:ascii="Arial" w:eastAsia="Times New Roman" w:hAnsi="Arial" w:cs="Arial"/>
                <w:color w:val="FFFFFF"/>
                <w:lang w:eastAsia="pl-PL"/>
              </w:rPr>
            </w:pPr>
          </w:p>
        </w:tc>
        <w:tc>
          <w:tcPr>
            <w:tcW w:w="1143" w:type="dxa"/>
            <w:tcBorders>
              <w:top w:val="nil"/>
              <w:left w:val="nil"/>
              <w:bottom w:val="single" w:sz="4" w:space="0" w:color="auto"/>
              <w:right w:val="single" w:sz="4" w:space="0" w:color="auto"/>
            </w:tcBorders>
            <w:shd w:val="clear" w:color="000000" w:fill="8064A2"/>
            <w:noWrap/>
            <w:vAlign w:val="center"/>
            <w:hideMark/>
          </w:tcPr>
          <w:p w:rsidR="005136E9" w:rsidRPr="005136E9" w:rsidRDefault="005136E9" w:rsidP="005136E9">
            <w:pPr>
              <w:spacing w:after="0" w:line="240" w:lineRule="auto"/>
              <w:jc w:val="center"/>
              <w:rPr>
                <w:rFonts w:ascii="Arial" w:eastAsia="Times New Roman" w:hAnsi="Arial" w:cs="Arial"/>
                <w:color w:val="FFFFFF"/>
                <w:lang w:eastAsia="pl-PL"/>
              </w:rPr>
            </w:pPr>
            <w:r w:rsidRPr="005136E9">
              <w:rPr>
                <w:rFonts w:ascii="Arial" w:eastAsia="Times New Roman" w:hAnsi="Arial" w:cs="Arial"/>
                <w:color w:val="FFFFFF"/>
                <w:lang w:eastAsia="pl-PL"/>
              </w:rPr>
              <w:t>ogółem</w:t>
            </w:r>
          </w:p>
        </w:tc>
        <w:tc>
          <w:tcPr>
            <w:tcW w:w="1852" w:type="dxa"/>
            <w:tcBorders>
              <w:top w:val="nil"/>
              <w:left w:val="nil"/>
              <w:bottom w:val="single" w:sz="4" w:space="0" w:color="auto"/>
              <w:right w:val="single" w:sz="4" w:space="0" w:color="auto"/>
            </w:tcBorders>
            <w:shd w:val="clear" w:color="000000" w:fill="8064A2"/>
            <w:vAlign w:val="center"/>
            <w:hideMark/>
          </w:tcPr>
          <w:p w:rsidR="005136E9" w:rsidRPr="005136E9" w:rsidRDefault="005136E9" w:rsidP="005136E9">
            <w:pPr>
              <w:spacing w:after="0" w:line="240" w:lineRule="auto"/>
              <w:jc w:val="center"/>
              <w:rPr>
                <w:rFonts w:ascii="Arial" w:eastAsia="Times New Roman" w:hAnsi="Arial" w:cs="Arial"/>
                <w:color w:val="FFFFFF"/>
                <w:lang w:eastAsia="pl-PL"/>
              </w:rPr>
            </w:pPr>
            <w:r w:rsidRPr="005136E9">
              <w:rPr>
                <w:rFonts w:ascii="Arial" w:eastAsia="Times New Roman" w:hAnsi="Arial" w:cs="Arial"/>
                <w:color w:val="FFFFFF"/>
                <w:lang w:eastAsia="pl-PL"/>
              </w:rPr>
              <w:t>w tym kobiety w %</w:t>
            </w:r>
          </w:p>
        </w:tc>
        <w:tc>
          <w:tcPr>
            <w:tcW w:w="1028" w:type="dxa"/>
            <w:tcBorders>
              <w:top w:val="nil"/>
              <w:left w:val="nil"/>
              <w:bottom w:val="single" w:sz="4" w:space="0" w:color="auto"/>
              <w:right w:val="single" w:sz="4" w:space="0" w:color="auto"/>
            </w:tcBorders>
            <w:shd w:val="clear" w:color="000000" w:fill="8064A2"/>
            <w:noWrap/>
            <w:vAlign w:val="center"/>
            <w:hideMark/>
          </w:tcPr>
          <w:p w:rsidR="005136E9" w:rsidRPr="005136E9" w:rsidRDefault="005136E9" w:rsidP="005136E9">
            <w:pPr>
              <w:spacing w:after="0" w:line="240" w:lineRule="auto"/>
              <w:jc w:val="center"/>
              <w:rPr>
                <w:rFonts w:ascii="Arial" w:eastAsia="Times New Roman" w:hAnsi="Arial" w:cs="Arial"/>
                <w:color w:val="FFFFFF"/>
                <w:lang w:eastAsia="pl-PL"/>
              </w:rPr>
            </w:pPr>
            <w:r w:rsidRPr="005136E9">
              <w:rPr>
                <w:rFonts w:ascii="Arial" w:eastAsia="Times New Roman" w:hAnsi="Arial" w:cs="Arial"/>
                <w:color w:val="FFFFFF"/>
                <w:lang w:eastAsia="pl-PL"/>
              </w:rPr>
              <w:t>ogółem</w:t>
            </w:r>
          </w:p>
        </w:tc>
        <w:tc>
          <w:tcPr>
            <w:tcW w:w="1807" w:type="dxa"/>
            <w:tcBorders>
              <w:top w:val="nil"/>
              <w:left w:val="nil"/>
              <w:bottom w:val="single" w:sz="4" w:space="0" w:color="auto"/>
              <w:right w:val="single" w:sz="4" w:space="0" w:color="auto"/>
            </w:tcBorders>
            <w:shd w:val="clear" w:color="000000" w:fill="8064A2"/>
            <w:vAlign w:val="center"/>
            <w:hideMark/>
          </w:tcPr>
          <w:p w:rsidR="005136E9" w:rsidRPr="005136E9" w:rsidRDefault="005136E9" w:rsidP="005136E9">
            <w:pPr>
              <w:spacing w:after="0" w:line="240" w:lineRule="auto"/>
              <w:jc w:val="center"/>
              <w:rPr>
                <w:rFonts w:ascii="Arial" w:eastAsia="Times New Roman" w:hAnsi="Arial" w:cs="Arial"/>
                <w:color w:val="FFFFFF"/>
                <w:lang w:eastAsia="pl-PL"/>
              </w:rPr>
            </w:pPr>
            <w:r w:rsidRPr="005136E9">
              <w:rPr>
                <w:rFonts w:ascii="Arial" w:eastAsia="Times New Roman" w:hAnsi="Arial" w:cs="Arial"/>
                <w:color w:val="FFFFFF"/>
                <w:lang w:eastAsia="pl-PL"/>
              </w:rPr>
              <w:t>w tym kobiety w %</w:t>
            </w:r>
          </w:p>
        </w:tc>
        <w:tc>
          <w:tcPr>
            <w:tcW w:w="1134" w:type="dxa"/>
            <w:tcBorders>
              <w:top w:val="nil"/>
              <w:left w:val="nil"/>
              <w:bottom w:val="single" w:sz="4" w:space="0" w:color="auto"/>
              <w:right w:val="single" w:sz="4" w:space="0" w:color="auto"/>
            </w:tcBorders>
            <w:shd w:val="clear" w:color="000000" w:fill="8064A2"/>
            <w:noWrap/>
            <w:vAlign w:val="center"/>
            <w:hideMark/>
          </w:tcPr>
          <w:p w:rsidR="005136E9" w:rsidRPr="005136E9" w:rsidRDefault="005136E9" w:rsidP="005136E9">
            <w:pPr>
              <w:spacing w:after="0" w:line="240" w:lineRule="auto"/>
              <w:jc w:val="center"/>
              <w:rPr>
                <w:rFonts w:ascii="Arial" w:eastAsia="Times New Roman" w:hAnsi="Arial" w:cs="Arial"/>
                <w:color w:val="FFFFFF"/>
                <w:lang w:eastAsia="pl-PL"/>
              </w:rPr>
            </w:pPr>
            <w:r w:rsidRPr="005136E9">
              <w:rPr>
                <w:rFonts w:ascii="Arial" w:eastAsia="Times New Roman" w:hAnsi="Arial" w:cs="Arial"/>
                <w:color w:val="FFFFFF"/>
                <w:lang w:eastAsia="pl-PL"/>
              </w:rPr>
              <w:t>ogółem</w:t>
            </w:r>
          </w:p>
        </w:tc>
        <w:tc>
          <w:tcPr>
            <w:tcW w:w="1842" w:type="dxa"/>
            <w:tcBorders>
              <w:top w:val="nil"/>
              <w:left w:val="nil"/>
              <w:bottom w:val="single" w:sz="4" w:space="0" w:color="auto"/>
              <w:right w:val="single" w:sz="4" w:space="0" w:color="auto"/>
            </w:tcBorders>
            <w:shd w:val="clear" w:color="000000" w:fill="8064A2"/>
            <w:vAlign w:val="center"/>
            <w:hideMark/>
          </w:tcPr>
          <w:p w:rsidR="005136E9" w:rsidRPr="005136E9" w:rsidRDefault="005136E9" w:rsidP="005136E9">
            <w:pPr>
              <w:spacing w:after="0" w:line="240" w:lineRule="auto"/>
              <w:jc w:val="center"/>
              <w:rPr>
                <w:rFonts w:ascii="Arial" w:eastAsia="Times New Roman" w:hAnsi="Arial" w:cs="Arial"/>
                <w:color w:val="FFFFFF"/>
                <w:lang w:eastAsia="pl-PL"/>
              </w:rPr>
            </w:pPr>
            <w:r w:rsidRPr="005136E9">
              <w:rPr>
                <w:rFonts w:ascii="Arial" w:eastAsia="Times New Roman" w:hAnsi="Arial" w:cs="Arial"/>
                <w:color w:val="FFFFFF"/>
                <w:lang w:eastAsia="pl-PL"/>
              </w:rPr>
              <w:t>w tym kobiety w %</w:t>
            </w:r>
          </w:p>
        </w:tc>
      </w:tr>
      <w:tr w:rsidR="005136E9" w:rsidRPr="005136E9" w:rsidTr="006070F7">
        <w:trPr>
          <w:trHeight w:val="285"/>
        </w:trPr>
        <w:tc>
          <w:tcPr>
            <w:tcW w:w="1400" w:type="dxa"/>
            <w:tcBorders>
              <w:top w:val="nil"/>
              <w:left w:val="single" w:sz="4" w:space="0" w:color="auto"/>
              <w:bottom w:val="nil"/>
              <w:right w:val="single" w:sz="4" w:space="0" w:color="auto"/>
            </w:tcBorders>
            <w:shd w:val="clear" w:color="auto" w:fill="auto"/>
            <w:noWrap/>
            <w:vAlign w:val="center"/>
            <w:hideMark/>
          </w:tcPr>
          <w:p w:rsidR="005136E9" w:rsidRPr="005136E9" w:rsidRDefault="005136E9" w:rsidP="005136E9">
            <w:pPr>
              <w:spacing w:after="0" w:line="240" w:lineRule="auto"/>
              <w:rPr>
                <w:rFonts w:ascii="Arial" w:eastAsia="Times New Roman" w:hAnsi="Arial" w:cs="Arial"/>
                <w:color w:val="000000"/>
                <w:lang w:eastAsia="pl-PL"/>
              </w:rPr>
            </w:pPr>
            <w:r w:rsidRPr="005136E9">
              <w:rPr>
                <w:rFonts w:ascii="Arial" w:eastAsia="Times New Roman" w:hAnsi="Arial" w:cs="Arial"/>
                <w:color w:val="000000"/>
                <w:lang w:eastAsia="pl-PL"/>
              </w:rPr>
              <w:t>6.1.1</w:t>
            </w:r>
          </w:p>
        </w:tc>
        <w:tc>
          <w:tcPr>
            <w:tcW w:w="1143"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213</w:t>
            </w:r>
          </w:p>
        </w:tc>
        <w:tc>
          <w:tcPr>
            <w:tcW w:w="1852"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63,8</w:t>
            </w:r>
          </w:p>
        </w:tc>
        <w:tc>
          <w:tcPr>
            <w:tcW w:w="1028"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212</w:t>
            </w:r>
          </w:p>
        </w:tc>
        <w:tc>
          <w:tcPr>
            <w:tcW w:w="1807"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52,4</w:t>
            </w:r>
          </w:p>
        </w:tc>
        <w:tc>
          <w:tcPr>
            <w:tcW w:w="1134"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236</w:t>
            </w:r>
          </w:p>
        </w:tc>
        <w:tc>
          <w:tcPr>
            <w:tcW w:w="1842"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66,5</w:t>
            </w:r>
          </w:p>
        </w:tc>
      </w:tr>
      <w:tr w:rsidR="005136E9" w:rsidRPr="005136E9" w:rsidTr="006070F7">
        <w:trPr>
          <w:trHeight w:val="285"/>
        </w:trPr>
        <w:tc>
          <w:tcPr>
            <w:tcW w:w="1400" w:type="dxa"/>
            <w:tcBorders>
              <w:top w:val="nil"/>
              <w:left w:val="single" w:sz="4" w:space="0" w:color="auto"/>
              <w:bottom w:val="nil"/>
              <w:right w:val="single" w:sz="4" w:space="0" w:color="auto"/>
            </w:tcBorders>
            <w:shd w:val="clear" w:color="auto" w:fill="auto"/>
            <w:noWrap/>
            <w:vAlign w:val="center"/>
            <w:hideMark/>
          </w:tcPr>
          <w:p w:rsidR="005136E9" w:rsidRPr="005136E9" w:rsidRDefault="005136E9" w:rsidP="005136E9">
            <w:pPr>
              <w:spacing w:after="0" w:line="240" w:lineRule="auto"/>
              <w:rPr>
                <w:rFonts w:ascii="Arial" w:eastAsia="Times New Roman" w:hAnsi="Arial" w:cs="Arial"/>
                <w:color w:val="000000"/>
                <w:lang w:eastAsia="pl-PL"/>
              </w:rPr>
            </w:pPr>
            <w:r w:rsidRPr="005136E9">
              <w:rPr>
                <w:rFonts w:ascii="Arial" w:eastAsia="Times New Roman" w:hAnsi="Arial" w:cs="Arial"/>
                <w:color w:val="000000"/>
                <w:lang w:eastAsia="pl-PL"/>
              </w:rPr>
              <w:t>6.1.3</w:t>
            </w:r>
          </w:p>
        </w:tc>
        <w:tc>
          <w:tcPr>
            <w:tcW w:w="1143"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913</w:t>
            </w:r>
          </w:p>
        </w:tc>
        <w:tc>
          <w:tcPr>
            <w:tcW w:w="1852"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49,7</w:t>
            </w:r>
          </w:p>
        </w:tc>
        <w:tc>
          <w:tcPr>
            <w:tcW w:w="1028"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933</w:t>
            </w:r>
          </w:p>
        </w:tc>
        <w:tc>
          <w:tcPr>
            <w:tcW w:w="1807"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43,0</w:t>
            </w:r>
          </w:p>
        </w:tc>
        <w:tc>
          <w:tcPr>
            <w:tcW w:w="1134"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404</w:t>
            </w:r>
          </w:p>
        </w:tc>
        <w:tc>
          <w:tcPr>
            <w:tcW w:w="1842"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48,3</w:t>
            </w:r>
          </w:p>
        </w:tc>
      </w:tr>
      <w:tr w:rsidR="005136E9" w:rsidRPr="005136E9" w:rsidTr="006070F7">
        <w:trPr>
          <w:trHeight w:val="285"/>
        </w:trPr>
        <w:tc>
          <w:tcPr>
            <w:tcW w:w="1400" w:type="dxa"/>
            <w:tcBorders>
              <w:top w:val="nil"/>
              <w:left w:val="single" w:sz="4" w:space="0" w:color="auto"/>
              <w:bottom w:val="nil"/>
              <w:right w:val="single" w:sz="4" w:space="0" w:color="auto"/>
            </w:tcBorders>
            <w:shd w:val="clear" w:color="auto" w:fill="auto"/>
            <w:noWrap/>
            <w:vAlign w:val="center"/>
            <w:hideMark/>
          </w:tcPr>
          <w:p w:rsidR="005136E9" w:rsidRPr="005136E9" w:rsidRDefault="005136E9" w:rsidP="005136E9">
            <w:pPr>
              <w:spacing w:after="0" w:line="240" w:lineRule="auto"/>
              <w:rPr>
                <w:rFonts w:ascii="Arial" w:eastAsia="Times New Roman" w:hAnsi="Arial" w:cs="Arial"/>
                <w:color w:val="000000"/>
                <w:lang w:eastAsia="pl-PL"/>
              </w:rPr>
            </w:pPr>
            <w:r w:rsidRPr="005136E9">
              <w:rPr>
                <w:rFonts w:ascii="Arial" w:eastAsia="Times New Roman" w:hAnsi="Arial" w:cs="Arial"/>
                <w:color w:val="000000"/>
                <w:lang w:eastAsia="pl-PL"/>
              </w:rPr>
              <w:t>6.2</w:t>
            </w:r>
          </w:p>
        </w:tc>
        <w:tc>
          <w:tcPr>
            <w:tcW w:w="1143"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29</w:t>
            </w:r>
          </w:p>
        </w:tc>
        <w:tc>
          <w:tcPr>
            <w:tcW w:w="1852"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41,4</w:t>
            </w:r>
          </w:p>
        </w:tc>
        <w:tc>
          <w:tcPr>
            <w:tcW w:w="1028"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23</w:t>
            </w:r>
          </w:p>
        </w:tc>
        <w:tc>
          <w:tcPr>
            <w:tcW w:w="1807"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26,1</w:t>
            </w:r>
          </w:p>
        </w:tc>
        <w:tc>
          <w:tcPr>
            <w:tcW w:w="1134"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49</w:t>
            </w:r>
          </w:p>
        </w:tc>
        <w:tc>
          <w:tcPr>
            <w:tcW w:w="1842"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59,2</w:t>
            </w:r>
          </w:p>
        </w:tc>
      </w:tr>
      <w:tr w:rsidR="005136E9" w:rsidRPr="005136E9" w:rsidTr="006070F7">
        <w:trPr>
          <w:trHeight w:val="285"/>
        </w:trPr>
        <w:tc>
          <w:tcPr>
            <w:tcW w:w="1400" w:type="dxa"/>
            <w:tcBorders>
              <w:top w:val="nil"/>
              <w:left w:val="single" w:sz="4" w:space="0" w:color="auto"/>
              <w:bottom w:val="nil"/>
              <w:right w:val="single" w:sz="4" w:space="0" w:color="auto"/>
            </w:tcBorders>
            <w:shd w:val="clear" w:color="auto" w:fill="auto"/>
            <w:noWrap/>
            <w:vAlign w:val="center"/>
            <w:hideMark/>
          </w:tcPr>
          <w:p w:rsidR="005136E9" w:rsidRPr="005136E9" w:rsidRDefault="005136E9" w:rsidP="005136E9">
            <w:pPr>
              <w:spacing w:after="0" w:line="240" w:lineRule="auto"/>
              <w:rPr>
                <w:rFonts w:ascii="Arial" w:eastAsia="Times New Roman" w:hAnsi="Arial" w:cs="Arial"/>
                <w:color w:val="000000"/>
                <w:lang w:eastAsia="pl-PL"/>
              </w:rPr>
            </w:pPr>
            <w:r w:rsidRPr="005136E9">
              <w:rPr>
                <w:rFonts w:ascii="Arial" w:eastAsia="Times New Roman" w:hAnsi="Arial" w:cs="Arial"/>
                <w:color w:val="000000"/>
                <w:lang w:eastAsia="pl-PL"/>
              </w:rPr>
              <w:t>6.3</w:t>
            </w:r>
          </w:p>
        </w:tc>
        <w:tc>
          <w:tcPr>
            <w:tcW w:w="1143"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41</w:t>
            </w:r>
          </w:p>
        </w:tc>
        <w:tc>
          <w:tcPr>
            <w:tcW w:w="1852"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65,9</w:t>
            </w:r>
          </w:p>
        </w:tc>
        <w:tc>
          <w:tcPr>
            <w:tcW w:w="1028"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38</w:t>
            </w:r>
          </w:p>
        </w:tc>
        <w:tc>
          <w:tcPr>
            <w:tcW w:w="1807"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81,6</w:t>
            </w:r>
          </w:p>
        </w:tc>
        <w:tc>
          <w:tcPr>
            <w:tcW w:w="1134"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3</w:t>
            </w:r>
          </w:p>
        </w:tc>
        <w:tc>
          <w:tcPr>
            <w:tcW w:w="1842"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66,7</w:t>
            </w:r>
          </w:p>
        </w:tc>
      </w:tr>
      <w:tr w:rsidR="005136E9" w:rsidRPr="005136E9" w:rsidTr="006070F7">
        <w:trPr>
          <w:trHeight w:val="285"/>
        </w:trPr>
        <w:tc>
          <w:tcPr>
            <w:tcW w:w="1400" w:type="dxa"/>
            <w:tcBorders>
              <w:top w:val="nil"/>
              <w:left w:val="single" w:sz="4" w:space="0" w:color="auto"/>
              <w:bottom w:val="nil"/>
              <w:right w:val="single" w:sz="4" w:space="0" w:color="auto"/>
            </w:tcBorders>
            <w:shd w:val="clear" w:color="000000" w:fill="CCC0DA"/>
            <w:noWrap/>
            <w:vAlign w:val="center"/>
            <w:hideMark/>
          </w:tcPr>
          <w:p w:rsidR="005136E9" w:rsidRPr="005136E9" w:rsidRDefault="005136E9" w:rsidP="005136E9">
            <w:pPr>
              <w:spacing w:after="0" w:line="240" w:lineRule="auto"/>
              <w:jc w:val="center"/>
              <w:rPr>
                <w:rFonts w:ascii="Arial" w:eastAsia="Times New Roman" w:hAnsi="Arial" w:cs="Arial"/>
                <w:color w:val="000000"/>
                <w:lang w:eastAsia="pl-PL"/>
              </w:rPr>
            </w:pPr>
            <w:r w:rsidRPr="005136E9">
              <w:rPr>
                <w:rFonts w:ascii="Arial" w:eastAsia="Times New Roman" w:hAnsi="Arial" w:cs="Arial"/>
                <w:color w:val="000000"/>
                <w:lang w:eastAsia="pl-PL"/>
              </w:rPr>
              <w:t>VI</w:t>
            </w:r>
          </w:p>
        </w:tc>
        <w:tc>
          <w:tcPr>
            <w:tcW w:w="1143" w:type="dxa"/>
            <w:tcBorders>
              <w:top w:val="nil"/>
              <w:left w:val="nil"/>
              <w:bottom w:val="nil"/>
              <w:right w:val="single" w:sz="4" w:space="0" w:color="auto"/>
            </w:tcBorders>
            <w:shd w:val="clear" w:color="000000" w:fill="CCC0DA"/>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1 196</w:t>
            </w:r>
          </w:p>
        </w:tc>
        <w:tc>
          <w:tcPr>
            <w:tcW w:w="1852" w:type="dxa"/>
            <w:tcBorders>
              <w:top w:val="nil"/>
              <w:left w:val="nil"/>
              <w:bottom w:val="nil"/>
              <w:right w:val="single" w:sz="4" w:space="0" w:color="auto"/>
            </w:tcBorders>
            <w:shd w:val="clear" w:color="000000" w:fill="CCC0DA"/>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52,6</w:t>
            </w:r>
          </w:p>
        </w:tc>
        <w:tc>
          <w:tcPr>
            <w:tcW w:w="1028" w:type="dxa"/>
            <w:tcBorders>
              <w:top w:val="nil"/>
              <w:left w:val="nil"/>
              <w:bottom w:val="nil"/>
              <w:right w:val="single" w:sz="4" w:space="0" w:color="auto"/>
            </w:tcBorders>
            <w:shd w:val="clear" w:color="000000" w:fill="CCC0DA"/>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1 206</w:t>
            </w:r>
          </w:p>
        </w:tc>
        <w:tc>
          <w:tcPr>
            <w:tcW w:w="1807" w:type="dxa"/>
            <w:tcBorders>
              <w:top w:val="nil"/>
              <w:left w:val="nil"/>
              <w:bottom w:val="nil"/>
              <w:right w:val="single" w:sz="4" w:space="0" w:color="auto"/>
            </w:tcBorders>
            <w:shd w:val="clear" w:color="000000" w:fill="CCC0DA"/>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45,5</w:t>
            </w:r>
          </w:p>
        </w:tc>
        <w:tc>
          <w:tcPr>
            <w:tcW w:w="1134" w:type="dxa"/>
            <w:tcBorders>
              <w:top w:val="nil"/>
              <w:left w:val="nil"/>
              <w:bottom w:val="nil"/>
              <w:right w:val="single" w:sz="4" w:space="0" w:color="auto"/>
            </w:tcBorders>
            <w:shd w:val="clear" w:color="000000" w:fill="CCC0DA"/>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692</w:t>
            </w:r>
          </w:p>
        </w:tc>
        <w:tc>
          <w:tcPr>
            <w:tcW w:w="1842" w:type="dxa"/>
            <w:tcBorders>
              <w:top w:val="nil"/>
              <w:left w:val="nil"/>
              <w:bottom w:val="nil"/>
              <w:right w:val="single" w:sz="4" w:space="0" w:color="auto"/>
            </w:tcBorders>
            <w:shd w:val="clear" w:color="000000" w:fill="CCC0DA"/>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55,3</w:t>
            </w:r>
          </w:p>
        </w:tc>
      </w:tr>
      <w:tr w:rsidR="005136E9" w:rsidRPr="005136E9" w:rsidTr="006070F7">
        <w:trPr>
          <w:trHeight w:val="285"/>
        </w:trPr>
        <w:tc>
          <w:tcPr>
            <w:tcW w:w="1400" w:type="dxa"/>
            <w:tcBorders>
              <w:top w:val="nil"/>
              <w:left w:val="single" w:sz="4" w:space="0" w:color="auto"/>
              <w:bottom w:val="nil"/>
              <w:right w:val="single" w:sz="4" w:space="0" w:color="auto"/>
            </w:tcBorders>
            <w:shd w:val="clear" w:color="auto" w:fill="auto"/>
            <w:noWrap/>
            <w:vAlign w:val="center"/>
            <w:hideMark/>
          </w:tcPr>
          <w:p w:rsidR="005136E9" w:rsidRPr="005136E9" w:rsidRDefault="005136E9" w:rsidP="005136E9">
            <w:pPr>
              <w:spacing w:after="0" w:line="240" w:lineRule="auto"/>
              <w:rPr>
                <w:rFonts w:ascii="Arial" w:eastAsia="Times New Roman" w:hAnsi="Arial" w:cs="Arial"/>
                <w:color w:val="000000"/>
                <w:lang w:eastAsia="pl-PL"/>
              </w:rPr>
            </w:pPr>
            <w:r w:rsidRPr="005136E9">
              <w:rPr>
                <w:rFonts w:ascii="Arial" w:eastAsia="Times New Roman" w:hAnsi="Arial" w:cs="Arial"/>
                <w:color w:val="000000"/>
                <w:lang w:eastAsia="pl-PL"/>
              </w:rPr>
              <w:t>7.1.1</w:t>
            </w:r>
          </w:p>
        </w:tc>
        <w:tc>
          <w:tcPr>
            <w:tcW w:w="1143"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149</w:t>
            </w:r>
          </w:p>
        </w:tc>
        <w:tc>
          <w:tcPr>
            <w:tcW w:w="1852"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68,5</w:t>
            </w:r>
          </w:p>
        </w:tc>
        <w:tc>
          <w:tcPr>
            <w:tcW w:w="1028"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190</w:t>
            </w:r>
          </w:p>
        </w:tc>
        <w:tc>
          <w:tcPr>
            <w:tcW w:w="1807"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60,0</w:t>
            </w:r>
          </w:p>
        </w:tc>
        <w:tc>
          <w:tcPr>
            <w:tcW w:w="1134"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264</w:t>
            </w:r>
          </w:p>
        </w:tc>
        <w:tc>
          <w:tcPr>
            <w:tcW w:w="1842"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65,9</w:t>
            </w:r>
          </w:p>
        </w:tc>
      </w:tr>
      <w:tr w:rsidR="005136E9" w:rsidRPr="005136E9" w:rsidTr="006070F7">
        <w:trPr>
          <w:trHeight w:val="285"/>
        </w:trPr>
        <w:tc>
          <w:tcPr>
            <w:tcW w:w="1400" w:type="dxa"/>
            <w:tcBorders>
              <w:top w:val="nil"/>
              <w:left w:val="single" w:sz="4" w:space="0" w:color="auto"/>
              <w:bottom w:val="nil"/>
              <w:right w:val="single" w:sz="4" w:space="0" w:color="auto"/>
            </w:tcBorders>
            <w:shd w:val="clear" w:color="auto" w:fill="auto"/>
            <w:noWrap/>
            <w:vAlign w:val="center"/>
            <w:hideMark/>
          </w:tcPr>
          <w:p w:rsidR="005136E9" w:rsidRPr="005136E9" w:rsidRDefault="005136E9" w:rsidP="005136E9">
            <w:pPr>
              <w:spacing w:after="0" w:line="240" w:lineRule="auto"/>
              <w:rPr>
                <w:rFonts w:ascii="Arial" w:eastAsia="Times New Roman" w:hAnsi="Arial" w:cs="Arial"/>
                <w:color w:val="000000"/>
                <w:lang w:eastAsia="pl-PL"/>
              </w:rPr>
            </w:pPr>
            <w:r w:rsidRPr="005136E9">
              <w:rPr>
                <w:rFonts w:ascii="Arial" w:eastAsia="Times New Roman" w:hAnsi="Arial" w:cs="Arial"/>
                <w:color w:val="000000"/>
                <w:lang w:eastAsia="pl-PL"/>
              </w:rPr>
              <w:t>7.1.2</w:t>
            </w:r>
          </w:p>
        </w:tc>
        <w:tc>
          <w:tcPr>
            <w:tcW w:w="1143"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41</w:t>
            </w:r>
          </w:p>
        </w:tc>
        <w:tc>
          <w:tcPr>
            <w:tcW w:w="1852"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73,2</w:t>
            </w:r>
          </w:p>
        </w:tc>
        <w:tc>
          <w:tcPr>
            <w:tcW w:w="1028"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33</w:t>
            </w:r>
          </w:p>
        </w:tc>
        <w:tc>
          <w:tcPr>
            <w:tcW w:w="1807"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78,8</w:t>
            </w:r>
          </w:p>
        </w:tc>
        <w:tc>
          <w:tcPr>
            <w:tcW w:w="1134"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29</w:t>
            </w:r>
          </w:p>
        </w:tc>
        <w:tc>
          <w:tcPr>
            <w:tcW w:w="1842"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65,5</w:t>
            </w:r>
          </w:p>
        </w:tc>
      </w:tr>
      <w:tr w:rsidR="005136E9" w:rsidRPr="005136E9" w:rsidTr="006070F7">
        <w:trPr>
          <w:trHeight w:val="285"/>
        </w:trPr>
        <w:tc>
          <w:tcPr>
            <w:tcW w:w="1400" w:type="dxa"/>
            <w:tcBorders>
              <w:top w:val="nil"/>
              <w:left w:val="single" w:sz="4" w:space="0" w:color="auto"/>
              <w:bottom w:val="nil"/>
              <w:right w:val="single" w:sz="4" w:space="0" w:color="auto"/>
            </w:tcBorders>
            <w:shd w:val="clear" w:color="auto" w:fill="auto"/>
            <w:noWrap/>
            <w:vAlign w:val="center"/>
            <w:hideMark/>
          </w:tcPr>
          <w:p w:rsidR="005136E9" w:rsidRPr="005136E9" w:rsidRDefault="005136E9" w:rsidP="005136E9">
            <w:pPr>
              <w:spacing w:after="0" w:line="240" w:lineRule="auto"/>
              <w:rPr>
                <w:rFonts w:ascii="Arial" w:eastAsia="Times New Roman" w:hAnsi="Arial" w:cs="Arial"/>
                <w:color w:val="000000"/>
                <w:lang w:eastAsia="pl-PL"/>
              </w:rPr>
            </w:pPr>
            <w:r w:rsidRPr="005136E9">
              <w:rPr>
                <w:rFonts w:ascii="Arial" w:eastAsia="Times New Roman" w:hAnsi="Arial" w:cs="Arial"/>
                <w:color w:val="000000"/>
                <w:lang w:eastAsia="pl-PL"/>
              </w:rPr>
              <w:t>7.2.1</w:t>
            </w:r>
          </w:p>
        </w:tc>
        <w:tc>
          <w:tcPr>
            <w:tcW w:w="1143"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261</w:t>
            </w:r>
          </w:p>
        </w:tc>
        <w:tc>
          <w:tcPr>
            <w:tcW w:w="1852"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44,1</w:t>
            </w:r>
          </w:p>
        </w:tc>
        <w:tc>
          <w:tcPr>
            <w:tcW w:w="1028"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157</w:t>
            </w:r>
          </w:p>
        </w:tc>
        <w:tc>
          <w:tcPr>
            <w:tcW w:w="1807"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53,5</w:t>
            </w:r>
          </w:p>
        </w:tc>
        <w:tc>
          <w:tcPr>
            <w:tcW w:w="1134"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146</w:t>
            </w:r>
          </w:p>
        </w:tc>
        <w:tc>
          <w:tcPr>
            <w:tcW w:w="1842"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62,3</w:t>
            </w:r>
          </w:p>
        </w:tc>
      </w:tr>
      <w:tr w:rsidR="005136E9" w:rsidRPr="005136E9" w:rsidTr="006070F7">
        <w:trPr>
          <w:trHeight w:val="285"/>
        </w:trPr>
        <w:tc>
          <w:tcPr>
            <w:tcW w:w="1400" w:type="dxa"/>
            <w:tcBorders>
              <w:top w:val="nil"/>
              <w:left w:val="single" w:sz="4" w:space="0" w:color="auto"/>
              <w:bottom w:val="nil"/>
              <w:right w:val="single" w:sz="4" w:space="0" w:color="auto"/>
            </w:tcBorders>
            <w:shd w:val="clear" w:color="auto" w:fill="auto"/>
            <w:noWrap/>
            <w:vAlign w:val="center"/>
            <w:hideMark/>
          </w:tcPr>
          <w:p w:rsidR="005136E9" w:rsidRPr="005136E9" w:rsidRDefault="005136E9" w:rsidP="005136E9">
            <w:pPr>
              <w:spacing w:after="0" w:line="240" w:lineRule="auto"/>
              <w:rPr>
                <w:rFonts w:ascii="Arial" w:eastAsia="Times New Roman" w:hAnsi="Arial" w:cs="Arial"/>
                <w:color w:val="000000"/>
                <w:lang w:eastAsia="pl-PL"/>
              </w:rPr>
            </w:pPr>
            <w:r w:rsidRPr="005136E9">
              <w:rPr>
                <w:rFonts w:ascii="Arial" w:eastAsia="Times New Roman" w:hAnsi="Arial" w:cs="Arial"/>
                <w:color w:val="000000"/>
                <w:lang w:eastAsia="pl-PL"/>
              </w:rPr>
              <w:t>7.2.2</w:t>
            </w:r>
          </w:p>
        </w:tc>
        <w:tc>
          <w:tcPr>
            <w:tcW w:w="1143"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43</w:t>
            </w:r>
          </w:p>
        </w:tc>
        <w:tc>
          <w:tcPr>
            <w:tcW w:w="1852"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65,1</w:t>
            </w:r>
          </w:p>
        </w:tc>
        <w:tc>
          <w:tcPr>
            <w:tcW w:w="1028"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66</w:t>
            </w:r>
          </w:p>
        </w:tc>
        <w:tc>
          <w:tcPr>
            <w:tcW w:w="1807"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57,6</w:t>
            </w:r>
          </w:p>
        </w:tc>
        <w:tc>
          <w:tcPr>
            <w:tcW w:w="1134"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17</w:t>
            </w:r>
          </w:p>
        </w:tc>
        <w:tc>
          <w:tcPr>
            <w:tcW w:w="1842"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64,7</w:t>
            </w:r>
          </w:p>
        </w:tc>
      </w:tr>
      <w:tr w:rsidR="005136E9" w:rsidRPr="005136E9" w:rsidTr="006070F7">
        <w:trPr>
          <w:trHeight w:val="285"/>
        </w:trPr>
        <w:tc>
          <w:tcPr>
            <w:tcW w:w="1400" w:type="dxa"/>
            <w:tcBorders>
              <w:top w:val="nil"/>
              <w:left w:val="single" w:sz="4" w:space="0" w:color="auto"/>
              <w:bottom w:val="nil"/>
              <w:right w:val="single" w:sz="4" w:space="0" w:color="auto"/>
            </w:tcBorders>
            <w:shd w:val="clear" w:color="auto" w:fill="auto"/>
            <w:noWrap/>
            <w:vAlign w:val="center"/>
            <w:hideMark/>
          </w:tcPr>
          <w:p w:rsidR="005136E9" w:rsidRPr="005136E9" w:rsidRDefault="005136E9" w:rsidP="005136E9">
            <w:pPr>
              <w:spacing w:after="0" w:line="240" w:lineRule="auto"/>
              <w:rPr>
                <w:rFonts w:ascii="Arial" w:eastAsia="Times New Roman" w:hAnsi="Arial" w:cs="Arial"/>
                <w:color w:val="000000"/>
                <w:lang w:eastAsia="pl-PL"/>
              </w:rPr>
            </w:pPr>
            <w:r w:rsidRPr="005136E9">
              <w:rPr>
                <w:rFonts w:ascii="Arial" w:eastAsia="Times New Roman" w:hAnsi="Arial" w:cs="Arial"/>
                <w:color w:val="000000"/>
                <w:lang w:eastAsia="pl-PL"/>
              </w:rPr>
              <w:t>7.3</w:t>
            </w:r>
          </w:p>
        </w:tc>
        <w:tc>
          <w:tcPr>
            <w:tcW w:w="1143"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87</w:t>
            </w:r>
          </w:p>
        </w:tc>
        <w:tc>
          <w:tcPr>
            <w:tcW w:w="1852"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69,0</w:t>
            </w:r>
          </w:p>
        </w:tc>
        <w:tc>
          <w:tcPr>
            <w:tcW w:w="1028"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100</w:t>
            </w:r>
          </w:p>
        </w:tc>
        <w:tc>
          <w:tcPr>
            <w:tcW w:w="1807"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63,0</w:t>
            </w:r>
          </w:p>
        </w:tc>
        <w:tc>
          <w:tcPr>
            <w:tcW w:w="1134"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27</w:t>
            </w:r>
          </w:p>
        </w:tc>
        <w:tc>
          <w:tcPr>
            <w:tcW w:w="1842"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74,1</w:t>
            </w:r>
          </w:p>
        </w:tc>
      </w:tr>
      <w:tr w:rsidR="005136E9" w:rsidRPr="005136E9" w:rsidTr="006070F7">
        <w:trPr>
          <w:trHeight w:val="285"/>
        </w:trPr>
        <w:tc>
          <w:tcPr>
            <w:tcW w:w="1400" w:type="dxa"/>
            <w:tcBorders>
              <w:top w:val="nil"/>
              <w:left w:val="single" w:sz="4" w:space="0" w:color="auto"/>
              <w:bottom w:val="nil"/>
              <w:right w:val="single" w:sz="4" w:space="0" w:color="auto"/>
            </w:tcBorders>
            <w:shd w:val="clear" w:color="000000" w:fill="CCC0DA"/>
            <w:noWrap/>
            <w:vAlign w:val="center"/>
            <w:hideMark/>
          </w:tcPr>
          <w:p w:rsidR="005136E9" w:rsidRPr="005136E9" w:rsidRDefault="005136E9" w:rsidP="005136E9">
            <w:pPr>
              <w:spacing w:after="0" w:line="240" w:lineRule="auto"/>
              <w:jc w:val="center"/>
              <w:rPr>
                <w:rFonts w:ascii="Arial" w:eastAsia="Times New Roman" w:hAnsi="Arial" w:cs="Arial"/>
                <w:color w:val="000000"/>
                <w:lang w:eastAsia="pl-PL"/>
              </w:rPr>
            </w:pPr>
            <w:r w:rsidRPr="005136E9">
              <w:rPr>
                <w:rFonts w:ascii="Arial" w:eastAsia="Times New Roman" w:hAnsi="Arial" w:cs="Arial"/>
                <w:color w:val="000000"/>
                <w:lang w:eastAsia="pl-PL"/>
              </w:rPr>
              <w:t>VII</w:t>
            </w:r>
          </w:p>
        </w:tc>
        <w:tc>
          <w:tcPr>
            <w:tcW w:w="1143" w:type="dxa"/>
            <w:tcBorders>
              <w:top w:val="nil"/>
              <w:left w:val="nil"/>
              <w:bottom w:val="nil"/>
              <w:right w:val="single" w:sz="4" w:space="0" w:color="auto"/>
            </w:tcBorders>
            <w:shd w:val="clear" w:color="000000" w:fill="CCC0DA"/>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581</w:t>
            </w:r>
          </w:p>
        </w:tc>
        <w:tc>
          <w:tcPr>
            <w:tcW w:w="1852" w:type="dxa"/>
            <w:tcBorders>
              <w:top w:val="nil"/>
              <w:left w:val="nil"/>
              <w:bottom w:val="nil"/>
              <w:right w:val="single" w:sz="4" w:space="0" w:color="auto"/>
            </w:tcBorders>
            <w:shd w:val="clear" w:color="000000" w:fill="CCC0DA"/>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57,7</w:t>
            </w:r>
          </w:p>
        </w:tc>
        <w:tc>
          <w:tcPr>
            <w:tcW w:w="1028" w:type="dxa"/>
            <w:tcBorders>
              <w:top w:val="nil"/>
              <w:left w:val="nil"/>
              <w:bottom w:val="nil"/>
              <w:right w:val="single" w:sz="4" w:space="0" w:color="auto"/>
            </w:tcBorders>
            <w:shd w:val="clear" w:color="000000" w:fill="CCC0DA"/>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546</w:t>
            </w:r>
          </w:p>
        </w:tc>
        <w:tc>
          <w:tcPr>
            <w:tcW w:w="1807" w:type="dxa"/>
            <w:tcBorders>
              <w:top w:val="nil"/>
              <w:left w:val="nil"/>
              <w:bottom w:val="nil"/>
              <w:right w:val="single" w:sz="4" w:space="0" w:color="auto"/>
            </w:tcBorders>
            <w:shd w:val="clear" w:color="000000" w:fill="CCC0DA"/>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59,5</w:t>
            </w:r>
          </w:p>
        </w:tc>
        <w:tc>
          <w:tcPr>
            <w:tcW w:w="1134" w:type="dxa"/>
            <w:tcBorders>
              <w:top w:val="nil"/>
              <w:left w:val="nil"/>
              <w:bottom w:val="nil"/>
              <w:right w:val="single" w:sz="4" w:space="0" w:color="auto"/>
            </w:tcBorders>
            <w:shd w:val="clear" w:color="000000" w:fill="CCC0DA"/>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483</w:t>
            </w:r>
          </w:p>
        </w:tc>
        <w:tc>
          <w:tcPr>
            <w:tcW w:w="1842" w:type="dxa"/>
            <w:tcBorders>
              <w:top w:val="nil"/>
              <w:left w:val="nil"/>
              <w:bottom w:val="nil"/>
              <w:right w:val="single" w:sz="4" w:space="0" w:color="auto"/>
            </w:tcBorders>
            <w:shd w:val="clear" w:color="000000" w:fill="CCC0DA"/>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65,2</w:t>
            </w:r>
          </w:p>
        </w:tc>
      </w:tr>
      <w:tr w:rsidR="005136E9" w:rsidRPr="005136E9" w:rsidTr="006070F7">
        <w:trPr>
          <w:trHeight w:val="285"/>
        </w:trPr>
        <w:tc>
          <w:tcPr>
            <w:tcW w:w="1400" w:type="dxa"/>
            <w:tcBorders>
              <w:top w:val="nil"/>
              <w:left w:val="single" w:sz="4" w:space="0" w:color="auto"/>
              <w:bottom w:val="nil"/>
              <w:right w:val="single" w:sz="4" w:space="0" w:color="auto"/>
            </w:tcBorders>
            <w:shd w:val="clear" w:color="auto" w:fill="auto"/>
            <w:noWrap/>
            <w:vAlign w:val="center"/>
            <w:hideMark/>
          </w:tcPr>
          <w:p w:rsidR="005136E9" w:rsidRPr="005136E9" w:rsidRDefault="005136E9" w:rsidP="005136E9">
            <w:pPr>
              <w:spacing w:after="0" w:line="240" w:lineRule="auto"/>
              <w:rPr>
                <w:rFonts w:ascii="Arial" w:eastAsia="Times New Roman" w:hAnsi="Arial" w:cs="Arial"/>
                <w:color w:val="000000"/>
                <w:lang w:eastAsia="pl-PL"/>
              </w:rPr>
            </w:pPr>
            <w:r w:rsidRPr="005136E9">
              <w:rPr>
                <w:rFonts w:ascii="Arial" w:eastAsia="Times New Roman" w:hAnsi="Arial" w:cs="Arial"/>
                <w:color w:val="000000"/>
                <w:lang w:eastAsia="pl-PL"/>
              </w:rPr>
              <w:t>8.1.2</w:t>
            </w:r>
          </w:p>
        </w:tc>
        <w:tc>
          <w:tcPr>
            <w:tcW w:w="1143"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0</w:t>
            </w:r>
          </w:p>
        </w:tc>
        <w:tc>
          <w:tcPr>
            <w:tcW w:w="1852"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0,0</w:t>
            </w:r>
          </w:p>
        </w:tc>
        <w:tc>
          <w:tcPr>
            <w:tcW w:w="1028"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36</w:t>
            </w:r>
          </w:p>
        </w:tc>
        <w:tc>
          <w:tcPr>
            <w:tcW w:w="1807"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44,4</w:t>
            </w:r>
          </w:p>
        </w:tc>
        <w:tc>
          <w:tcPr>
            <w:tcW w:w="1134"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38</w:t>
            </w:r>
          </w:p>
        </w:tc>
        <w:tc>
          <w:tcPr>
            <w:tcW w:w="1842"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65,8</w:t>
            </w:r>
          </w:p>
        </w:tc>
      </w:tr>
      <w:tr w:rsidR="005136E9" w:rsidRPr="005136E9" w:rsidTr="006070F7">
        <w:trPr>
          <w:trHeight w:val="285"/>
        </w:trPr>
        <w:tc>
          <w:tcPr>
            <w:tcW w:w="1400" w:type="dxa"/>
            <w:tcBorders>
              <w:top w:val="nil"/>
              <w:left w:val="single" w:sz="4" w:space="0" w:color="auto"/>
              <w:bottom w:val="nil"/>
              <w:right w:val="single" w:sz="4" w:space="0" w:color="auto"/>
            </w:tcBorders>
            <w:shd w:val="clear" w:color="000000" w:fill="CCC0DA"/>
            <w:noWrap/>
            <w:vAlign w:val="center"/>
            <w:hideMark/>
          </w:tcPr>
          <w:p w:rsidR="005136E9" w:rsidRPr="005136E9" w:rsidRDefault="005136E9" w:rsidP="005136E9">
            <w:pPr>
              <w:spacing w:after="0" w:line="240" w:lineRule="auto"/>
              <w:jc w:val="center"/>
              <w:rPr>
                <w:rFonts w:ascii="Arial" w:eastAsia="Times New Roman" w:hAnsi="Arial" w:cs="Arial"/>
                <w:color w:val="000000"/>
                <w:lang w:eastAsia="pl-PL"/>
              </w:rPr>
            </w:pPr>
            <w:r w:rsidRPr="005136E9">
              <w:rPr>
                <w:rFonts w:ascii="Arial" w:eastAsia="Times New Roman" w:hAnsi="Arial" w:cs="Arial"/>
                <w:color w:val="000000"/>
                <w:lang w:eastAsia="pl-PL"/>
              </w:rPr>
              <w:t>VIII</w:t>
            </w:r>
          </w:p>
        </w:tc>
        <w:tc>
          <w:tcPr>
            <w:tcW w:w="1143" w:type="dxa"/>
            <w:tcBorders>
              <w:top w:val="nil"/>
              <w:left w:val="nil"/>
              <w:bottom w:val="nil"/>
              <w:right w:val="single" w:sz="4" w:space="0" w:color="auto"/>
            </w:tcBorders>
            <w:shd w:val="clear" w:color="000000" w:fill="CCC0DA"/>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0</w:t>
            </w:r>
          </w:p>
        </w:tc>
        <w:tc>
          <w:tcPr>
            <w:tcW w:w="1852" w:type="dxa"/>
            <w:tcBorders>
              <w:top w:val="nil"/>
              <w:left w:val="nil"/>
              <w:bottom w:val="nil"/>
              <w:right w:val="single" w:sz="4" w:space="0" w:color="auto"/>
            </w:tcBorders>
            <w:shd w:val="clear" w:color="000000" w:fill="CCC0DA"/>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0,0</w:t>
            </w:r>
          </w:p>
        </w:tc>
        <w:tc>
          <w:tcPr>
            <w:tcW w:w="1028" w:type="dxa"/>
            <w:tcBorders>
              <w:top w:val="nil"/>
              <w:left w:val="nil"/>
              <w:bottom w:val="nil"/>
              <w:right w:val="single" w:sz="4" w:space="0" w:color="auto"/>
            </w:tcBorders>
            <w:shd w:val="clear" w:color="000000" w:fill="CCC0DA"/>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36</w:t>
            </w:r>
          </w:p>
        </w:tc>
        <w:tc>
          <w:tcPr>
            <w:tcW w:w="1807" w:type="dxa"/>
            <w:tcBorders>
              <w:top w:val="nil"/>
              <w:left w:val="nil"/>
              <w:bottom w:val="nil"/>
              <w:right w:val="single" w:sz="4" w:space="0" w:color="auto"/>
            </w:tcBorders>
            <w:shd w:val="clear" w:color="000000" w:fill="CCC0DA"/>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44,4</w:t>
            </w:r>
          </w:p>
        </w:tc>
        <w:tc>
          <w:tcPr>
            <w:tcW w:w="1134" w:type="dxa"/>
            <w:tcBorders>
              <w:top w:val="nil"/>
              <w:left w:val="nil"/>
              <w:bottom w:val="nil"/>
              <w:right w:val="single" w:sz="4" w:space="0" w:color="auto"/>
            </w:tcBorders>
            <w:shd w:val="clear" w:color="000000" w:fill="CCC0DA"/>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38</w:t>
            </w:r>
          </w:p>
        </w:tc>
        <w:tc>
          <w:tcPr>
            <w:tcW w:w="1842" w:type="dxa"/>
            <w:tcBorders>
              <w:top w:val="nil"/>
              <w:left w:val="nil"/>
              <w:bottom w:val="nil"/>
              <w:right w:val="single" w:sz="4" w:space="0" w:color="auto"/>
            </w:tcBorders>
            <w:shd w:val="clear" w:color="000000" w:fill="CCC0DA"/>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65,8</w:t>
            </w:r>
          </w:p>
        </w:tc>
      </w:tr>
      <w:tr w:rsidR="005136E9" w:rsidRPr="005136E9" w:rsidTr="006070F7">
        <w:trPr>
          <w:trHeight w:val="285"/>
        </w:trPr>
        <w:tc>
          <w:tcPr>
            <w:tcW w:w="1400" w:type="dxa"/>
            <w:tcBorders>
              <w:top w:val="nil"/>
              <w:left w:val="single" w:sz="4" w:space="0" w:color="auto"/>
              <w:bottom w:val="nil"/>
              <w:right w:val="single" w:sz="4" w:space="0" w:color="auto"/>
            </w:tcBorders>
            <w:shd w:val="clear" w:color="auto" w:fill="auto"/>
            <w:noWrap/>
            <w:vAlign w:val="center"/>
            <w:hideMark/>
          </w:tcPr>
          <w:p w:rsidR="005136E9" w:rsidRPr="005136E9" w:rsidRDefault="005136E9" w:rsidP="005136E9">
            <w:pPr>
              <w:spacing w:after="0" w:line="240" w:lineRule="auto"/>
              <w:rPr>
                <w:rFonts w:ascii="Arial" w:eastAsia="Times New Roman" w:hAnsi="Arial" w:cs="Arial"/>
                <w:color w:val="000000"/>
                <w:lang w:eastAsia="pl-PL"/>
              </w:rPr>
            </w:pPr>
            <w:r w:rsidRPr="005136E9">
              <w:rPr>
                <w:rFonts w:ascii="Arial" w:eastAsia="Times New Roman" w:hAnsi="Arial" w:cs="Arial"/>
                <w:color w:val="000000"/>
                <w:lang w:eastAsia="pl-PL"/>
              </w:rPr>
              <w:t>9.3</w:t>
            </w:r>
          </w:p>
        </w:tc>
        <w:tc>
          <w:tcPr>
            <w:tcW w:w="1143"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33</w:t>
            </w:r>
          </w:p>
        </w:tc>
        <w:tc>
          <w:tcPr>
            <w:tcW w:w="1852"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18,2</w:t>
            </w:r>
          </w:p>
        </w:tc>
        <w:tc>
          <w:tcPr>
            <w:tcW w:w="1028"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16</w:t>
            </w:r>
          </w:p>
        </w:tc>
        <w:tc>
          <w:tcPr>
            <w:tcW w:w="1807"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6,3</w:t>
            </w:r>
          </w:p>
        </w:tc>
        <w:tc>
          <w:tcPr>
            <w:tcW w:w="1134"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36</w:t>
            </w:r>
          </w:p>
        </w:tc>
        <w:tc>
          <w:tcPr>
            <w:tcW w:w="1842"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47,2</w:t>
            </w:r>
          </w:p>
        </w:tc>
      </w:tr>
      <w:tr w:rsidR="005136E9" w:rsidRPr="005136E9" w:rsidTr="006070F7">
        <w:trPr>
          <w:trHeight w:val="285"/>
        </w:trPr>
        <w:tc>
          <w:tcPr>
            <w:tcW w:w="1400" w:type="dxa"/>
            <w:tcBorders>
              <w:top w:val="nil"/>
              <w:left w:val="single" w:sz="4" w:space="0" w:color="auto"/>
              <w:bottom w:val="nil"/>
              <w:right w:val="single" w:sz="4" w:space="0" w:color="auto"/>
            </w:tcBorders>
            <w:shd w:val="clear" w:color="auto" w:fill="auto"/>
            <w:noWrap/>
            <w:vAlign w:val="center"/>
            <w:hideMark/>
          </w:tcPr>
          <w:p w:rsidR="005136E9" w:rsidRPr="005136E9" w:rsidRDefault="005136E9" w:rsidP="005136E9">
            <w:pPr>
              <w:spacing w:after="0" w:line="240" w:lineRule="auto"/>
              <w:rPr>
                <w:rFonts w:ascii="Arial" w:eastAsia="Times New Roman" w:hAnsi="Arial" w:cs="Arial"/>
                <w:color w:val="000000"/>
                <w:lang w:eastAsia="pl-PL"/>
              </w:rPr>
            </w:pPr>
            <w:r w:rsidRPr="005136E9">
              <w:rPr>
                <w:rFonts w:ascii="Arial" w:eastAsia="Times New Roman" w:hAnsi="Arial" w:cs="Arial"/>
                <w:color w:val="000000"/>
                <w:lang w:eastAsia="pl-PL"/>
              </w:rPr>
              <w:t>9.5</w:t>
            </w:r>
          </w:p>
        </w:tc>
        <w:tc>
          <w:tcPr>
            <w:tcW w:w="1143"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8</w:t>
            </w:r>
          </w:p>
        </w:tc>
        <w:tc>
          <w:tcPr>
            <w:tcW w:w="1852"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25,0</w:t>
            </w:r>
          </w:p>
        </w:tc>
        <w:tc>
          <w:tcPr>
            <w:tcW w:w="1028"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12</w:t>
            </w:r>
          </w:p>
        </w:tc>
        <w:tc>
          <w:tcPr>
            <w:tcW w:w="1807"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58,3</w:t>
            </w:r>
          </w:p>
        </w:tc>
        <w:tc>
          <w:tcPr>
            <w:tcW w:w="1134"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0</w:t>
            </w:r>
          </w:p>
        </w:tc>
        <w:tc>
          <w:tcPr>
            <w:tcW w:w="1842" w:type="dxa"/>
            <w:tcBorders>
              <w:top w:val="nil"/>
              <w:left w:val="nil"/>
              <w:bottom w:val="nil"/>
              <w:right w:val="single" w:sz="4" w:space="0" w:color="auto"/>
            </w:tcBorders>
            <w:shd w:val="clear" w:color="auto" w:fill="auto"/>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0,0</w:t>
            </w:r>
          </w:p>
        </w:tc>
      </w:tr>
      <w:tr w:rsidR="005136E9" w:rsidRPr="005136E9" w:rsidTr="006070F7">
        <w:trPr>
          <w:trHeight w:val="285"/>
        </w:trPr>
        <w:tc>
          <w:tcPr>
            <w:tcW w:w="1400" w:type="dxa"/>
            <w:tcBorders>
              <w:top w:val="nil"/>
              <w:left w:val="single" w:sz="4" w:space="0" w:color="auto"/>
              <w:bottom w:val="nil"/>
              <w:right w:val="single" w:sz="4" w:space="0" w:color="auto"/>
            </w:tcBorders>
            <w:shd w:val="clear" w:color="000000" w:fill="CCC0DA"/>
            <w:noWrap/>
            <w:vAlign w:val="center"/>
            <w:hideMark/>
          </w:tcPr>
          <w:p w:rsidR="005136E9" w:rsidRPr="005136E9" w:rsidRDefault="005136E9" w:rsidP="005136E9">
            <w:pPr>
              <w:spacing w:after="0" w:line="240" w:lineRule="auto"/>
              <w:jc w:val="center"/>
              <w:rPr>
                <w:rFonts w:ascii="Arial" w:eastAsia="Times New Roman" w:hAnsi="Arial" w:cs="Arial"/>
                <w:color w:val="000000"/>
                <w:lang w:eastAsia="pl-PL"/>
              </w:rPr>
            </w:pPr>
            <w:r w:rsidRPr="005136E9">
              <w:rPr>
                <w:rFonts w:ascii="Arial" w:eastAsia="Times New Roman" w:hAnsi="Arial" w:cs="Arial"/>
                <w:color w:val="000000"/>
                <w:lang w:eastAsia="pl-PL"/>
              </w:rPr>
              <w:t>IX</w:t>
            </w:r>
          </w:p>
        </w:tc>
        <w:tc>
          <w:tcPr>
            <w:tcW w:w="1143" w:type="dxa"/>
            <w:tcBorders>
              <w:top w:val="nil"/>
              <w:left w:val="nil"/>
              <w:bottom w:val="nil"/>
              <w:right w:val="single" w:sz="4" w:space="0" w:color="auto"/>
            </w:tcBorders>
            <w:shd w:val="clear" w:color="000000" w:fill="CCC0DA"/>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41</w:t>
            </w:r>
          </w:p>
        </w:tc>
        <w:tc>
          <w:tcPr>
            <w:tcW w:w="1852" w:type="dxa"/>
            <w:tcBorders>
              <w:top w:val="nil"/>
              <w:left w:val="nil"/>
              <w:bottom w:val="nil"/>
              <w:right w:val="single" w:sz="4" w:space="0" w:color="auto"/>
            </w:tcBorders>
            <w:shd w:val="clear" w:color="000000" w:fill="CCC0DA"/>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26,8</w:t>
            </w:r>
          </w:p>
        </w:tc>
        <w:tc>
          <w:tcPr>
            <w:tcW w:w="1028" w:type="dxa"/>
            <w:tcBorders>
              <w:top w:val="nil"/>
              <w:left w:val="nil"/>
              <w:bottom w:val="nil"/>
              <w:right w:val="single" w:sz="4" w:space="0" w:color="auto"/>
            </w:tcBorders>
            <w:shd w:val="clear" w:color="000000" w:fill="CCC0DA"/>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28</w:t>
            </w:r>
          </w:p>
        </w:tc>
        <w:tc>
          <w:tcPr>
            <w:tcW w:w="1807" w:type="dxa"/>
            <w:tcBorders>
              <w:top w:val="nil"/>
              <w:left w:val="nil"/>
              <w:bottom w:val="nil"/>
              <w:right w:val="single" w:sz="4" w:space="0" w:color="auto"/>
            </w:tcBorders>
            <w:shd w:val="clear" w:color="000000" w:fill="CCC0DA"/>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35,7</w:t>
            </w:r>
          </w:p>
        </w:tc>
        <w:tc>
          <w:tcPr>
            <w:tcW w:w="1134" w:type="dxa"/>
            <w:tcBorders>
              <w:top w:val="nil"/>
              <w:left w:val="nil"/>
              <w:bottom w:val="nil"/>
              <w:right w:val="single" w:sz="4" w:space="0" w:color="auto"/>
            </w:tcBorders>
            <w:shd w:val="clear" w:color="000000" w:fill="CCC0DA"/>
            <w:noWrap/>
            <w:vAlign w:val="bottom"/>
            <w:hideMark/>
          </w:tcPr>
          <w:p w:rsidR="005136E9" w:rsidRPr="005136E9" w:rsidRDefault="005136E9" w:rsidP="005136E9">
            <w:pPr>
              <w:spacing w:after="0" w:line="240" w:lineRule="auto"/>
              <w:jc w:val="right"/>
              <w:rPr>
                <w:rFonts w:ascii="Arial" w:eastAsia="Times New Roman" w:hAnsi="Arial" w:cs="Arial"/>
                <w:color w:val="000000"/>
                <w:lang w:eastAsia="pl-PL"/>
              </w:rPr>
            </w:pPr>
            <w:r w:rsidRPr="005136E9">
              <w:rPr>
                <w:rFonts w:ascii="Arial" w:eastAsia="Times New Roman" w:hAnsi="Arial" w:cs="Arial"/>
                <w:color w:val="000000"/>
                <w:lang w:eastAsia="pl-PL"/>
              </w:rPr>
              <w:t>36</w:t>
            </w:r>
          </w:p>
        </w:tc>
        <w:tc>
          <w:tcPr>
            <w:tcW w:w="1842" w:type="dxa"/>
            <w:tcBorders>
              <w:top w:val="nil"/>
              <w:left w:val="nil"/>
              <w:bottom w:val="nil"/>
              <w:right w:val="single" w:sz="4" w:space="0" w:color="auto"/>
            </w:tcBorders>
            <w:shd w:val="clear" w:color="000000" w:fill="CCC0DA"/>
            <w:noWrap/>
            <w:vAlign w:val="bottom"/>
            <w:hideMark/>
          </w:tcPr>
          <w:p w:rsidR="005136E9" w:rsidRPr="005136E9" w:rsidRDefault="00EF4BC9" w:rsidP="005136E9">
            <w:pPr>
              <w:spacing w:after="0" w:line="240" w:lineRule="auto"/>
              <w:jc w:val="right"/>
              <w:rPr>
                <w:rFonts w:ascii="Arial" w:eastAsia="Times New Roman" w:hAnsi="Arial" w:cs="Arial"/>
                <w:color w:val="000000"/>
                <w:lang w:eastAsia="pl-PL"/>
              </w:rPr>
            </w:pPr>
            <w:r>
              <w:rPr>
                <w:rFonts w:ascii="Arial" w:eastAsia="Times New Roman" w:hAnsi="Arial" w:cs="Arial"/>
                <w:color w:val="000000"/>
                <w:lang w:eastAsia="pl-PL"/>
              </w:rPr>
              <w:t>47,2</w:t>
            </w:r>
          </w:p>
        </w:tc>
      </w:tr>
      <w:tr w:rsidR="005136E9" w:rsidRPr="005136E9" w:rsidTr="006070F7">
        <w:trPr>
          <w:trHeight w:val="285"/>
        </w:trPr>
        <w:tc>
          <w:tcPr>
            <w:tcW w:w="1400" w:type="dxa"/>
            <w:tcBorders>
              <w:top w:val="single" w:sz="4" w:space="0" w:color="auto"/>
              <w:left w:val="single" w:sz="4" w:space="0" w:color="auto"/>
              <w:bottom w:val="single" w:sz="4" w:space="0" w:color="auto"/>
              <w:right w:val="single" w:sz="4" w:space="0" w:color="auto"/>
            </w:tcBorders>
            <w:shd w:val="clear" w:color="000000" w:fill="8064A2"/>
            <w:noWrap/>
            <w:vAlign w:val="center"/>
            <w:hideMark/>
          </w:tcPr>
          <w:p w:rsidR="005136E9" w:rsidRPr="005136E9" w:rsidRDefault="005136E9" w:rsidP="005136E9">
            <w:pPr>
              <w:spacing w:after="0" w:line="240" w:lineRule="auto"/>
              <w:jc w:val="center"/>
              <w:rPr>
                <w:rFonts w:ascii="Arial" w:eastAsia="Times New Roman" w:hAnsi="Arial" w:cs="Arial"/>
                <w:color w:val="FFFFFF"/>
                <w:lang w:eastAsia="pl-PL"/>
              </w:rPr>
            </w:pPr>
            <w:r w:rsidRPr="005136E9">
              <w:rPr>
                <w:rFonts w:ascii="Arial" w:eastAsia="Times New Roman" w:hAnsi="Arial" w:cs="Arial"/>
                <w:color w:val="FFFFFF"/>
                <w:lang w:eastAsia="pl-PL"/>
              </w:rPr>
              <w:t>ogółem</w:t>
            </w:r>
          </w:p>
        </w:tc>
        <w:tc>
          <w:tcPr>
            <w:tcW w:w="1143" w:type="dxa"/>
            <w:tcBorders>
              <w:top w:val="single" w:sz="4" w:space="0" w:color="auto"/>
              <w:left w:val="nil"/>
              <w:bottom w:val="single" w:sz="4" w:space="0" w:color="auto"/>
              <w:right w:val="single" w:sz="4" w:space="0" w:color="auto"/>
            </w:tcBorders>
            <w:shd w:val="clear" w:color="000000" w:fill="8064A2"/>
            <w:noWrap/>
            <w:vAlign w:val="bottom"/>
            <w:hideMark/>
          </w:tcPr>
          <w:p w:rsidR="005136E9" w:rsidRPr="005136E9" w:rsidRDefault="005136E9" w:rsidP="005136E9">
            <w:pPr>
              <w:spacing w:after="0" w:line="240" w:lineRule="auto"/>
              <w:jc w:val="right"/>
              <w:rPr>
                <w:rFonts w:ascii="Arial" w:eastAsia="Times New Roman" w:hAnsi="Arial" w:cs="Arial"/>
                <w:color w:val="FFFFFF"/>
                <w:lang w:eastAsia="pl-PL"/>
              </w:rPr>
            </w:pPr>
            <w:r w:rsidRPr="005136E9">
              <w:rPr>
                <w:rFonts w:ascii="Arial" w:eastAsia="Times New Roman" w:hAnsi="Arial" w:cs="Arial"/>
                <w:color w:val="FFFFFF"/>
                <w:lang w:eastAsia="pl-PL"/>
              </w:rPr>
              <w:t>1 818</w:t>
            </w:r>
          </w:p>
        </w:tc>
        <w:tc>
          <w:tcPr>
            <w:tcW w:w="1852" w:type="dxa"/>
            <w:tcBorders>
              <w:top w:val="single" w:sz="4" w:space="0" w:color="auto"/>
              <w:left w:val="nil"/>
              <w:bottom w:val="single" w:sz="4" w:space="0" w:color="auto"/>
              <w:right w:val="single" w:sz="4" w:space="0" w:color="auto"/>
            </w:tcBorders>
            <w:shd w:val="clear" w:color="000000" w:fill="8064A2"/>
            <w:noWrap/>
            <w:vAlign w:val="bottom"/>
            <w:hideMark/>
          </w:tcPr>
          <w:p w:rsidR="005136E9" w:rsidRPr="005136E9" w:rsidRDefault="005136E9" w:rsidP="00EF4BC9">
            <w:pPr>
              <w:spacing w:after="0" w:line="240" w:lineRule="auto"/>
              <w:jc w:val="right"/>
              <w:rPr>
                <w:rFonts w:ascii="Arial" w:eastAsia="Times New Roman" w:hAnsi="Arial" w:cs="Arial"/>
                <w:color w:val="FFFFFF"/>
                <w:lang w:eastAsia="pl-PL"/>
              </w:rPr>
            </w:pPr>
            <w:r w:rsidRPr="005136E9">
              <w:rPr>
                <w:rFonts w:ascii="Arial" w:eastAsia="Times New Roman" w:hAnsi="Arial" w:cs="Arial"/>
                <w:color w:val="FFFFFF"/>
                <w:lang w:eastAsia="pl-PL"/>
              </w:rPr>
              <w:t>53,</w:t>
            </w:r>
            <w:r w:rsidR="00EF4BC9">
              <w:rPr>
                <w:rFonts w:ascii="Arial" w:eastAsia="Times New Roman" w:hAnsi="Arial" w:cs="Arial"/>
                <w:color w:val="FFFFFF"/>
                <w:lang w:eastAsia="pl-PL"/>
              </w:rPr>
              <w:t>5</w:t>
            </w:r>
          </w:p>
        </w:tc>
        <w:tc>
          <w:tcPr>
            <w:tcW w:w="1028" w:type="dxa"/>
            <w:tcBorders>
              <w:top w:val="single" w:sz="4" w:space="0" w:color="auto"/>
              <w:left w:val="nil"/>
              <w:bottom w:val="single" w:sz="4" w:space="0" w:color="auto"/>
              <w:right w:val="single" w:sz="4" w:space="0" w:color="auto"/>
            </w:tcBorders>
            <w:shd w:val="clear" w:color="000000" w:fill="8064A2"/>
            <w:noWrap/>
            <w:vAlign w:val="bottom"/>
            <w:hideMark/>
          </w:tcPr>
          <w:p w:rsidR="005136E9" w:rsidRPr="005136E9" w:rsidRDefault="005136E9" w:rsidP="005136E9">
            <w:pPr>
              <w:spacing w:after="0" w:line="240" w:lineRule="auto"/>
              <w:jc w:val="right"/>
              <w:rPr>
                <w:rFonts w:ascii="Arial" w:eastAsia="Times New Roman" w:hAnsi="Arial" w:cs="Arial"/>
                <w:color w:val="FFFFFF"/>
                <w:lang w:eastAsia="pl-PL"/>
              </w:rPr>
            </w:pPr>
            <w:r w:rsidRPr="005136E9">
              <w:rPr>
                <w:rFonts w:ascii="Arial" w:eastAsia="Times New Roman" w:hAnsi="Arial" w:cs="Arial"/>
                <w:color w:val="FFFFFF"/>
                <w:lang w:eastAsia="pl-PL"/>
              </w:rPr>
              <w:t>1 816</w:t>
            </w:r>
          </w:p>
        </w:tc>
        <w:tc>
          <w:tcPr>
            <w:tcW w:w="1807" w:type="dxa"/>
            <w:tcBorders>
              <w:top w:val="single" w:sz="4" w:space="0" w:color="auto"/>
              <w:left w:val="nil"/>
              <w:bottom w:val="single" w:sz="4" w:space="0" w:color="auto"/>
              <w:right w:val="single" w:sz="4" w:space="0" w:color="auto"/>
            </w:tcBorders>
            <w:shd w:val="clear" w:color="000000" w:fill="8064A2"/>
            <w:noWrap/>
            <w:vAlign w:val="bottom"/>
            <w:hideMark/>
          </w:tcPr>
          <w:p w:rsidR="005136E9" w:rsidRPr="005136E9" w:rsidRDefault="005136E9" w:rsidP="00EF4BC9">
            <w:pPr>
              <w:spacing w:after="0" w:line="240" w:lineRule="auto"/>
              <w:jc w:val="right"/>
              <w:rPr>
                <w:rFonts w:ascii="Arial" w:eastAsia="Times New Roman" w:hAnsi="Arial" w:cs="Arial"/>
                <w:color w:val="FFFFFF"/>
                <w:lang w:eastAsia="pl-PL"/>
              </w:rPr>
            </w:pPr>
            <w:r w:rsidRPr="005136E9">
              <w:rPr>
                <w:rFonts w:ascii="Arial" w:eastAsia="Times New Roman" w:hAnsi="Arial" w:cs="Arial"/>
                <w:color w:val="FFFFFF"/>
                <w:lang w:eastAsia="pl-PL"/>
              </w:rPr>
              <w:t>49,</w:t>
            </w:r>
            <w:r w:rsidR="00EF4BC9">
              <w:rPr>
                <w:rFonts w:ascii="Arial" w:eastAsia="Times New Roman" w:hAnsi="Arial" w:cs="Arial"/>
                <w:color w:val="FFFFFF"/>
                <w:lang w:eastAsia="pl-PL"/>
              </w:rPr>
              <w:t>4</w:t>
            </w:r>
          </w:p>
        </w:tc>
        <w:tc>
          <w:tcPr>
            <w:tcW w:w="1134" w:type="dxa"/>
            <w:tcBorders>
              <w:top w:val="single" w:sz="4" w:space="0" w:color="auto"/>
              <w:left w:val="nil"/>
              <w:bottom w:val="single" w:sz="4" w:space="0" w:color="auto"/>
              <w:right w:val="single" w:sz="4" w:space="0" w:color="auto"/>
            </w:tcBorders>
            <w:shd w:val="clear" w:color="000000" w:fill="8064A2"/>
            <w:noWrap/>
            <w:vAlign w:val="bottom"/>
            <w:hideMark/>
          </w:tcPr>
          <w:p w:rsidR="005136E9" w:rsidRPr="005136E9" w:rsidRDefault="005136E9" w:rsidP="005136E9">
            <w:pPr>
              <w:spacing w:after="0" w:line="240" w:lineRule="auto"/>
              <w:jc w:val="right"/>
              <w:rPr>
                <w:rFonts w:ascii="Arial" w:eastAsia="Times New Roman" w:hAnsi="Arial" w:cs="Arial"/>
                <w:color w:val="FFFFFF"/>
                <w:lang w:eastAsia="pl-PL"/>
              </w:rPr>
            </w:pPr>
            <w:r w:rsidRPr="005136E9">
              <w:rPr>
                <w:rFonts w:ascii="Arial" w:eastAsia="Times New Roman" w:hAnsi="Arial" w:cs="Arial"/>
                <w:color w:val="FFFFFF"/>
                <w:lang w:eastAsia="pl-PL"/>
              </w:rPr>
              <w:t>1 249</w:t>
            </w:r>
          </w:p>
        </w:tc>
        <w:tc>
          <w:tcPr>
            <w:tcW w:w="1842" w:type="dxa"/>
            <w:tcBorders>
              <w:top w:val="single" w:sz="4" w:space="0" w:color="auto"/>
              <w:left w:val="nil"/>
              <w:bottom w:val="single" w:sz="4" w:space="0" w:color="auto"/>
              <w:right w:val="single" w:sz="4" w:space="0" w:color="auto"/>
            </w:tcBorders>
            <w:shd w:val="clear" w:color="000000" w:fill="8064A2"/>
            <w:noWrap/>
            <w:vAlign w:val="bottom"/>
            <w:hideMark/>
          </w:tcPr>
          <w:p w:rsidR="005136E9" w:rsidRPr="005136E9" w:rsidRDefault="00EF4BC9" w:rsidP="005136E9">
            <w:pPr>
              <w:spacing w:after="0" w:line="240" w:lineRule="auto"/>
              <w:jc w:val="right"/>
              <w:rPr>
                <w:rFonts w:ascii="Arial" w:eastAsia="Times New Roman" w:hAnsi="Arial" w:cs="Arial"/>
                <w:color w:val="FFFFFF"/>
                <w:lang w:eastAsia="pl-PL"/>
              </w:rPr>
            </w:pPr>
            <w:r>
              <w:rPr>
                <w:rFonts w:ascii="Arial" w:eastAsia="Times New Roman" w:hAnsi="Arial" w:cs="Arial"/>
                <w:color w:val="FFFFFF"/>
                <w:lang w:eastAsia="pl-PL"/>
              </w:rPr>
              <w:t>59,2</w:t>
            </w:r>
          </w:p>
        </w:tc>
      </w:tr>
    </w:tbl>
    <w:p w:rsidR="004D52CF" w:rsidRPr="003C3ADF" w:rsidRDefault="001C6EE1" w:rsidP="005136E9">
      <w:pPr>
        <w:ind w:hanging="567"/>
      </w:pPr>
      <w:r>
        <w:t xml:space="preserve">* </w:t>
      </w:r>
      <w:r w:rsidRPr="001C6EE1">
        <w:t>Dane wygenerowane z bazy PEFS 2007 dnia 03.07.2012 r</w:t>
      </w:r>
    </w:p>
    <w:p w:rsidR="009753C4" w:rsidRDefault="009753C4" w:rsidP="00DF09E9">
      <w:pPr>
        <w:spacing w:after="0" w:line="360" w:lineRule="auto"/>
        <w:rPr>
          <w:rFonts w:asciiTheme="majorHAnsi" w:eastAsiaTheme="majorEastAsia" w:hAnsiTheme="majorHAnsi" w:cstheme="majorBidi"/>
          <w:b/>
          <w:bCs/>
          <w:color w:val="365F91" w:themeColor="accent1" w:themeShade="BF"/>
          <w:sz w:val="28"/>
          <w:szCs w:val="28"/>
        </w:rPr>
      </w:pPr>
      <w:r>
        <w:br w:type="page"/>
      </w:r>
    </w:p>
    <w:p w:rsidR="007E709D" w:rsidRDefault="007E709D" w:rsidP="00730B52">
      <w:pPr>
        <w:pStyle w:val="Nagwek1"/>
        <w:numPr>
          <w:ilvl w:val="0"/>
          <w:numId w:val="5"/>
        </w:numPr>
        <w:spacing w:before="0" w:line="360" w:lineRule="auto"/>
        <w:ind w:left="567" w:hanging="567"/>
        <w:jc w:val="both"/>
      </w:pPr>
      <w:bookmarkStart w:id="17" w:name="_Toc333477266"/>
      <w:r w:rsidRPr="007E709D">
        <w:lastRenderedPageBreak/>
        <w:t>Realizacja programu „Solidarność pokoleń. Działania dla zwiększenia aktywności zawodowej osób w wieku 50+”</w:t>
      </w:r>
      <w:bookmarkEnd w:id="17"/>
    </w:p>
    <w:p w:rsidR="00F3382B" w:rsidRDefault="00F3382B" w:rsidP="00F3382B"/>
    <w:p w:rsidR="00F3382B" w:rsidRDefault="00F3382B" w:rsidP="00F3382B">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Program „Solidarno</w:t>
      </w:r>
      <w:r>
        <w:rPr>
          <w:rFonts w:ascii="TimesNewRoman" w:eastAsia="TimesNewRoman" w:hAnsi="Times New Roman" w:cs="TimesNewRoman" w:hint="eastAsia"/>
          <w:sz w:val="24"/>
          <w:szCs w:val="24"/>
        </w:rPr>
        <w:t>ść</w:t>
      </w:r>
      <w:r>
        <w:rPr>
          <w:rFonts w:ascii="TimesNewRoman" w:eastAsia="TimesNewRoman" w:hAnsi="Times New Roman" w:cs="TimesNewRoman"/>
          <w:sz w:val="24"/>
          <w:szCs w:val="24"/>
        </w:rPr>
        <w:t xml:space="preserve"> </w:t>
      </w:r>
      <w:r>
        <w:rPr>
          <w:rFonts w:ascii="Times New Roman" w:hAnsi="Times New Roman" w:cs="Times New Roman"/>
          <w:sz w:val="24"/>
          <w:szCs w:val="24"/>
        </w:rPr>
        <w:t>pokole</w:t>
      </w:r>
      <w:r>
        <w:rPr>
          <w:rFonts w:ascii="TimesNewRoman" w:eastAsia="TimesNewRoman" w:hAnsi="Times New Roman" w:cs="TimesNewRoman" w:hint="eastAsia"/>
          <w:sz w:val="24"/>
          <w:szCs w:val="24"/>
        </w:rPr>
        <w:t>ń</w:t>
      </w:r>
      <w:r>
        <w:rPr>
          <w:rFonts w:ascii="Times New Roman" w:hAnsi="Times New Roman" w:cs="Times New Roman"/>
          <w:sz w:val="24"/>
          <w:szCs w:val="24"/>
        </w:rPr>
        <w:t>” jest pakietem działa</w:t>
      </w:r>
      <w:r>
        <w:rPr>
          <w:rFonts w:ascii="TimesNewRoman" w:eastAsia="TimesNewRoman" w:hAnsi="Times New Roman" w:cs="TimesNewRoman" w:hint="eastAsia"/>
          <w:sz w:val="24"/>
          <w:szCs w:val="24"/>
        </w:rPr>
        <w:t>ń</w:t>
      </w:r>
      <w:r>
        <w:rPr>
          <w:rFonts w:ascii="TimesNewRoman" w:eastAsia="TimesNewRoman" w:hAnsi="Times New Roman" w:cs="TimesNewRoman"/>
          <w:sz w:val="24"/>
          <w:szCs w:val="24"/>
        </w:rPr>
        <w:t xml:space="preserve"> </w:t>
      </w:r>
      <w:r>
        <w:rPr>
          <w:rFonts w:ascii="Times New Roman" w:hAnsi="Times New Roman" w:cs="Times New Roman"/>
          <w:sz w:val="24"/>
          <w:szCs w:val="24"/>
        </w:rPr>
        <w:t>rz</w:t>
      </w:r>
      <w:r>
        <w:rPr>
          <w:rFonts w:ascii="TimesNewRoman" w:eastAsia="TimesNewRoman" w:hAnsi="Times New Roman" w:cs="TimesNewRoman" w:hint="eastAsia"/>
          <w:sz w:val="24"/>
          <w:szCs w:val="24"/>
        </w:rPr>
        <w:t>ą</w:t>
      </w:r>
      <w:r>
        <w:rPr>
          <w:rFonts w:ascii="Times New Roman" w:hAnsi="Times New Roman" w:cs="Times New Roman"/>
          <w:sz w:val="24"/>
          <w:szCs w:val="24"/>
        </w:rPr>
        <w:t>dowych zmierzaj</w:t>
      </w:r>
      <w:r>
        <w:rPr>
          <w:rFonts w:ascii="TimesNewRoman" w:eastAsia="TimesNewRoman" w:hAnsi="Times New Roman" w:cs="TimesNewRoman" w:hint="eastAsia"/>
          <w:sz w:val="24"/>
          <w:szCs w:val="24"/>
        </w:rPr>
        <w:t>ą</w:t>
      </w:r>
      <w:r>
        <w:rPr>
          <w:rFonts w:ascii="Times New Roman" w:hAnsi="Times New Roman" w:cs="Times New Roman"/>
          <w:sz w:val="24"/>
          <w:szCs w:val="24"/>
        </w:rPr>
        <w:t>cych do zwi</w:t>
      </w:r>
      <w:r>
        <w:rPr>
          <w:rFonts w:ascii="TimesNewRoman" w:eastAsia="TimesNewRoman" w:hAnsi="Times New Roman" w:cs="TimesNewRoman" w:hint="eastAsia"/>
          <w:sz w:val="24"/>
          <w:szCs w:val="24"/>
        </w:rPr>
        <w:t>ę</w:t>
      </w:r>
      <w:r>
        <w:rPr>
          <w:rFonts w:ascii="Times New Roman" w:hAnsi="Times New Roman" w:cs="Times New Roman"/>
          <w:sz w:val="24"/>
          <w:szCs w:val="24"/>
        </w:rPr>
        <w:t>kszenia zatrudnienia osób powy</w:t>
      </w:r>
      <w:r>
        <w:rPr>
          <w:rFonts w:ascii="TimesNewRoman" w:eastAsia="TimesNewRoman" w:hAnsi="Times New Roman" w:cs="TimesNewRoman"/>
          <w:sz w:val="24"/>
          <w:szCs w:val="24"/>
        </w:rPr>
        <w:t>ż</w:t>
      </w:r>
      <w:r>
        <w:rPr>
          <w:rFonts w:ascii="Times New Roman" w:hAnsi="Times New Roman" w:cs="Times New Roman"/>
          <w:sz w:val="24"/>
          <w:szCs w:val="24"/>
        </w:rPr>
        <w:t xml:space="preserve">ej 50 roku </w:t>
      </w:r>
      <w:r>
        <w:rPr>
          <w:rFonts w:ascii="TimesNewRoman" w:eastAsia="TimesNewRoman" w:hAnsi="Times New Roman" w:cs="TimesNewRoman"/>
          <w:sz w:val="24"/>
          <w:szCs w:val="24"/>
        </w:rPr>
        <w:t>ż</w:t>
      </w:r>
      <w:r>
        <w:rPr>
          <w:rFonts w:ascii="Times New Roman" w:hAnsi="Times New Roman" w:cs="Times New Roman"/>
          <w:sz w:val="24"/>
          <w:szCs w:val="24"/>
        </w:rPr>
        <w:t>ycia w Polsce. Program ten zakłada z jednej strony działania, które zwi</w:t>
      </w:r>
      <w:r>
        <w:rPr>
          <w:rFonts w:ascii="TimesNewRoman" w:eastAsia="TimesNewRoman" w:hAnsi="Times New Roman" w:cs="TimesNewRoman" w:hint="eastAsia"/>
          <w:sz w:val="24"/>
          <w:szCs w:val="24"/>
        </w:rPr>
        <w:t>ę</w:t>
      </w:r>
      <w:r>
        <w:rPr>
          <w:rFonts w:ascii="Times New Roman" w:hAnsi="Times New Roman" w:cs="Times New Roman"/>
          <w:sz w:val="24"/>
          <w:szCs w:val="24"/>
        </w:rPr>
        <w:t>kszaj</w:t>
      </w:r>
      <w:r>
        <w:rPr>
          <w:rFonts w:ascii="TimesNewRoman" w:eastAsia="TimesNewRoman" w:hAnsi="Times New Roman" w:cs="TimesNewRoman" w:hint="eastAsia"/>
          <w:sz w:val="24"/>
          <w:szCs w:val="24"/>
        </w:rPr>
        <w:t>ą</w:t>
      </w:r>
      <w:r>
        <w:rPr>
          <w:rFonts w:ascii="TimesNewRoman" w:eastAsia="TimesNewRoman" w:hAnsi="Times New Roman" w:cs="TimesNewRoman"/>
          <w:sz w:val="24"/>
          <w:szCs w:val="24"/>
        </w:rPr>
        <w:t xml:space="preserve"> </w:t>
      </w:r>
      <w:r>
        <w:rPr>
          <w:rFonts w:ascii="Times New Roman" w:hAnsi="Times New Roman" w:cs="Times New Roman"/>
          <w:sz w:val="24"/>
          <w:szCs w:val="24"/>
        </w:rPr>
        <w:t>zach</w:t>
      </w:r>
      <w:r>
        <w:rPr>
          <w:rFonts w:ascii="TimesNewRoman" w:eastAsia="TimesNewRoman" w:hAnsi="Times New Roman" w:cs="TimesNewRoman" w:hint="eastAsia"/>
          <w:sz w:val="24"/>
          <w:szCs w:val="24"/>
        </w:rPr>
        <w:t>ę</w:t>
      </w:r>
      <w:r>
        <w:rPr>
          <w:rFonts w:ascii="Times New Roman" w:hAnsi="Times New Roman" w:cs="Times New Roman"/>
          <w:sz w:val="24"/>
          <w:szCs w:val="24"/>
        </w:rPr>
        <w:t>ty do zatrudnienia osób w wieku 50+ przez przedsi</w:t>
      </w:r>
      <w:r>
        <w:rPr>
          <w:rFonts w:ascii="TimesNewRoman" w:eastAsia="TimesNewRoman" w:hAnsi="Times New Roman" w:cs="TimesNewRoman" w:hint="eastAsia"/>
          <w:sz w:val="24"/>
          <w:szCs w:val="24"/>
        </w:rPr>
        <w:t>ę</w:t>
      </w:r>
      <w:r>
        <w:rPr>
          <w:rFonts w:ascii="Times New Roman" w:hAnsi="Times New Roman" w:cs="Times New Roman"/>
          <w:sz w:val="24"/>
          <w:szCs w:val="24"/>
        </w:rPr>
        <w:t>biorców, a z drugiej strony działania, które sprzyjaj</w:t>
      </w:r>
      <w:r>
        <w:rPr>
          <w:rFonts w:ascii="TimesNewRoman" w:eastAsia="TimesNewRoman" w:hAnsi="Times New Roman" w:cs="TimesNewRoman" w:hint="eastAsia"/>
          <w:sz w:val="24"/>
          <w:szCs w:val="24"/>
        </w:rPr>
        <w:t>ą</w:t>
      </w:r>
      <w:r>
        <w:rPr>
          <w:rFonts w:ascii="TimesNewRoman" w:eastAsia="TimesNewRoman" w:hAnsi="Times New Roman" w:cs="TimesNewRoman"/>
          <w:sz w:val="24"/>
          <w:szCs w:val="24"/>
        </w:rPr>
        <w:t xml:space="preserve"> </w:t>
      </w:r>
      <w:r>
        <w:rPr>
          <w:rFonts w:ascii="Times New Roman" w:hAnsi="Times New Roman" w:cs="Times New Roman"/>
          <w:sz w:val="24"/>
          <w:szCs w:val="24"/>
        </w:rPr>
        <w:t>poprawie kwalifikacji, umiej</w:t>
      </w:r>
      <w:r>
        <w:rPr>
          <w:rFonts w:ascii="TimesNewRoman" w:eastAsia="TimesNewRoman" w:hAnsi="Times New Roman" w:cs="TimesNewRoman" w:hint="eastAsia"/>
          <w:sz w:val="24"/>
          <w:szCs w:val="24"/>
        </w:rPr>
        <w:t>ę</w:t>
      </w:r>
      <w:r>
        <w:rPr>
          <w:rFonts w:ascii="Times New Roman" w:hAnsi="Times New Roman" w:cs="Times New Roman"/>
          <w:sz w:val="24"/>
          <w:szCs w:val="24"/>
        </w:rPr>
        <w:t>tno</w:t>
      </w:r>
      <w:r>
        <w:rPr>
          <w:rFonts w:ascii="TimesNewRoman" w:eastAsia="TimesNewRoman" w:hAnsi="Times New Roman" w:cs="TimesNewRoman" w:hint="eastAsia"/>
          <w:sz w:val="24"/>
          <w:szCs w:val="24"/>
        </w:rPr>
        <w:t>ś</w:t>
      </w:r>
      <w:r>
        <w:rPr>
          <w:rFonts w:ascii="Times New Roman" w:hAnsi="Times New Roman" w:cs="Times New Roman"/>
          <w:sz w:val="24"/>
          <w:szCs w:val="24"/>
        </w:rPr>
        <w:t>ci i efektywno</w:t>
      </w:r>
      <w:r>
        <w:rPr>
          <w:rFonts w:ascii="TimesNewRoman" w:eastAsia="TimesNewRoman" w:hAnsi="Times New Roman" w:cs="TimesNewRoman" w:hint="eastAsia"/>
          <w:sz w:val="24"/>
          <w:szCs w:val="24"/>
        </w:rPr>
        <w:t>ś</w:t>
      </w:r>
      <w:r>
        <w:rPr>
          <w:rFonts w:ascii="Times New Roman" w:hAnsi="Times New Roman" w:cs="Times New Roman"/>
          <w:sz w:val="24"/>
          <w:szCs w:val="24"/>
        </w:rPr>
        <w:t>ci pracy tych osób.</w:t>
      </w:r>
      <w:r w:rsidR="004F5405">
        <w:rPr>
          <w:rFonts w:ascii="Times New Roman" w:hAnsi="Times New Roman" w:cs="Times New Roman"/>
          <w:sz w:val="24"/>
          <w:szCs w:val="24"/>
        </w:rPr>
        <w:t xml:space="preserve"> Program przyjęty został przez Radę Ministrów w październiku 2008 roku. </w:t>
      </w:r>
    </w:p>
    <w:p w:rsidR="004F5405" w:rsidRDefault="004F5405" w:rsidP="004F540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Wydłu</w:t>
      </w:r>
      <w:r>
        <w:rPr>
          <w:rFonts w:ascii="TimesNewRoman" w:eastAsia="TimesNewRoman" w:hAnsi="Times New Roman" w:cs="TimesNewRoman"/>
          <w:sz w:val="24"/>
          <w:szCs w:val="24"/>
        </w:rPr>
        <w:t>ż</w:t>
      </w:r>
      <w:r>
        <w:rPr>
          <w:rFonts w:ascii="Times New Roman" w:hAnsi="Times New Roman" w:cs="Times New Roman"/>
          <w:sz w:val="24"/>
          <w:szCs w:val="24"/>
        </w:rPr>
        <w:t>anie aktywno</w:t>
      </w:r>
      <w:r>
        <w:rPr>
          <w:rFonts w:ascii="TimesNewRoman" w:eastAsia="TimesNewRoman" w:hAnsi="Times New Roman" w:cs="TimesNewRoman" w:hint="eastAsia"/>
          <w:sz w:val="24"/>
          <w:szCs w:val="24"/>
        </w:rPr>
        <w:t>ś</w:t>
      </w:r>
      <w:r>
        <w:rPr>
          <w:rFonts w:ascii="Times New Roman" w:hAnsi="Times New Roman" w:cs="Times New Roman"/>
          <w:sz w:val="24"/>
          <w:szCs w:val="24"/>
        </w:rPr>
        <w:t>ci</w:t>
      </w:r>
      <w:r w:rsidR="003B3D53">
        <w:rPr>
          <w:rFonts w:ascii="Times New Roman" w:hAnsi="Times New Roman" w:cs="Times New Roman"/>
          <w:sz w:val="24"/>
          <w:szCs w:val="24"/>
        </w:rPr>
        <w:t xml:space="preserve"> zawodowej pracowników po 50</w:t>
      </w:r>
      <w:r>
        <w:rPr>
          <w:rFonts w:ascii="Times New Roman" w:hAnsi="Times New Roman" w:cs="Times New Roman"/>
          <w:sz w:val="24"/>
          <w:szCs w:val="24"/>
        </w:rPr>
        <w:t xml:space="preserve"> roku życia należy, zgodnie </w:t>
      </w:r>
      <w:r w:rsidR="00957D5F">
        <w:rPr>
          <w:rFonts w:ascii="Times New Roman" w:hAnsi="Times New Roman" w:cs="Times New Roman"/>
          <w:sz w:val="24"/>
          <w:szCs w:val="24"/>
        </w:rPr>
        <w:br/>
      </w:r>
      <w:r>
        <w:rPr>
          <w:rFonts w:ascii="Times New Roman" w:hAnsi="Times New Roman" w:cs="Times New Roman"/>
          <w:sz w:val="24"/>
          <w:szCs w:val="24"/>
        </w:rPr>
        <w:t>z zało</w:t>
      </w:r>
      <w:r>
        <w:rPr>
          <w:rFonts w:ascii="TimesNewRoman" w:eastAsia="TimesNewRoman" w:hAnsi="Times New Roman" w:cs="TimesNewRoman"/>
          <w:sz w:val="24"/>
          <w:szCs w:val="24"/>
        </w:rPr>
        <w:t>ż</w:t>
      </w:r>
      <w:r>
        <w:rPr>
          <w:rFonts w:ascii="Times New Roman" w:hAnsi="Times New Roman" w:cs="Times New Roman"/>
          <w:sz w:val="24"/>
          <w:szCs w:val="24"/>
        </w:rPr>
        <w:t>eniami Strategii Lizbo</w:t>
      </w:r>
      <w:r>
        <w:rPr>
          <w:rFonts w:ascii="TimesNewRoman" w:eastAsia="TimesNewRoman" w:hAnsi="Times New Roman" w:cs="TimesNewRoman" w:hint="eastAsia"/>
          <w:sz w:val="24"/>
          <w:szCs w:val="24"/>
        </w:rPr>
        <w:t>ń</w:t>
      </w:r>
      <w:r>
        <w:rPr>
          <w:rFonts w:ascii="Times New Roman" w:hAnsi="Times New Roman" w:cs="Times New Roman"/>
          <w:sz w:val="24"/>
          <w:szCs w:val="24"/>
        </w:rPr>
        <w:t>skiej przyj</w:t>
      </w:r>
      <w:r>
        <w:rPr>
          <w:rFonts w:ascii="TimesNewRoman" w:eastAsia="TimesNewRoman" w:hAnsi="Times New Roman" w:cs="TimesNewRoman" w:hint="eastAsia"/>
          <w:sz w:val="24"/>
          <w:szCs w:val="24"/>
        </w:rPr>
        <w:t>ę</w:t>
      </w:r>
      <w:r>
        <w:rPr>
          <w:rFonts w:ascii="Times New Roman" w:hAnsi="Times New Roman" w:cs="Times New Roman"/>
          <w:sz w:val="24"/>
          <w:szCs w:val="24"/>
        </w:rPr>
        <w:t>tej przez kraje UE w 2000 r</w:t>
      </w:r>
      <w:r w:rsidR="00957D5F">
        <w:rPr>
          <w:rFonts w:ascii="Times New Roman" w:hAnsi="Times New Roman" w:cs="Times New Roman"/>
          <w:sz w:val="24"/>
          <w:szCs w:val="24"/>
        </w:rPr>
        <w:t>oku</w:t>
      </w:r>
      <w:r>
        <w:rPr>
          <w:rFonts w:ascii="Times New Roman" w:hAnsi="Times New Roman" w:cs="Times New Roman"/>
          <w:sz w:val="24"/>
          <w:szCs w:val="24"/>
        </w:rPr>
        <w:t>, do priorytetowych działa</w:t>
      </w:r>
      <w:r>
        <w:rPr>
          <w:rFonts w:ascii="TimesNewRoman" w:eastAsia="TimesNewRoman" w:hAnsi="Times New Roman" w:cs="TimesNewRoman" w:hint="eastAsia"/>
          <w:sz w:val="24"/>
          <w:szCs w:val="24"/>
        </w:rPr>
        <w:t>ń</w:t>
      </w:r>
      <w:r>
        <w:rPr>
          <w:rFonts w:ascii="TimesNewRoman" w:eastAsia="TimesNewRoman" w:hAnsi="Times New Roman" w:cs="TimesNewRoman"/>
          <w:sz w:val="24"/>
          <w:szCs w:val="24"/>
        </w:rPr>
        <w:t xml:space="preserve"> </w:t>
      </w:r>
      <w:r>
        <w:rPr>
          <w:rFonts w:ascii="Times New Roman" w:hAnsi="Times New Roman" w:cs="Times New Roman"/>
          <w:sz w:val="24"/>
          <w:szCs w:val="24"/>
        </w:rPr>
        <w:t>krajów Unii Europejskiej.</w:t>
      </w:r>
    </w:p>
    <w:p w:rsidR="004F5405" w:rsidRDefault="004F5405" w:rsidP="004F5405">
      <w:pPr>
        <w:autoSpaceDE w:val="0"/>
        <w:autoSpaceDN w:val="0"/>
        <w:adjustRightInd w:val="0"/>
        <w:spacing w:after="0" w:line="360" w:lineRule="auto"/>
        <w:ind w:firstLine="708"/>
        <w:jc w:val="both"/>
        <w:rPr>
          <w:rFonts w:ascii="Times New Roman" w:hAnsi="Times New Roman" w:cs="Times New Roman"/>
          <w:sz w:val="24"/>
          <w:szCs w:val="24"/>
        </w:rPr>
      </w:pPr>
      <w:r w:rsidRPr="004F5405">
        <w:rPr>
          <w:rFonts w:ascii="Times New Roman" w:hAnsi="Times New Roman" w:cs="Times New Roman"/>
          <w:sz w:val="24"/>
          <w:szCs w:val="24"/>
        </w:rPr>
        <w:t>Celem programu „Solidarność pokoleń” jest osiągnięcie w perspektywie do 2020 r.</w:t>
      </w:r>
      <w:r>
        <w:rPr>
          <w:rFonts w:ascii="Times New Roman" w:hAnsi="Times New Roman" w:cs="Times New Roman"/>
          <w:sz w:val="24"/>
          <w:szCs w:val="24"/>
        </w:rPr>
        <w:t xml:space="preserve"> </w:t>
      </w:r>
      <w:r w:rsidRPr="004F5405">
        <w:rPr>
          <w:rFonts w:ascii="Times New Roman" w:hAnsi="Times New Roman" w:cs="Times New Roman"/>
          <w:sz w:val="24"/>
          <w:szCs w:val="24"/>
        </w:rPr>
        <w:t>wskaźnika zatrudnienia osób w wieku 55-64 lata na poziomie 50%, określonym w</w:t>
      </w:r>
      <w:r>
        <w:rPr>
          <w:rFonts w:ascii="Times New Roman" w:hAnsi="Times New Roman" w:cs="Times New Roman"/>
          <w:sz w:val="24"/>
          <w:szCs w:val="24"/>
        </w:rPr>
        <w:t xml:space="preserve"> </w:t>
      </w:r>
      <w:r w:rsidRPr="004F5405">
        <w:rPr>
          <w:rFonts w:ascii="Times New Roman" w:hAnsi="Times New Roman" w:cs="Times New Roman"/>
          <w:sz w:val="24"/>
          <w:szCs w:val="24"/>
        </w:rPr>
        <w:t>Strategii Lizbońskiej.</w:t>
      </w:r>
    </w:p>
    <w:p w:rsidR="00174DCA" w:rsidRDefault="00174DCA" w:rsidP="004F540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Program opiera się na </w:t>
      </w:r>
      <w:r w:rsidR="00EB3544">
        <w:rPr>
          <w:rFonts w:ascii="Times New Roman" w:hAnsi="Times New Roman" w:cs="Times New Roman"/>
          <w:sz w:val="24"/>
          <w:szCs w:val="24"/>
        </w:rPr>
        <w:t>7 celach:</w:t>
      </w:r>
    </w:p>
    <w:p w:rsidR="00EB3544" w:rsidRDefault="00EB3544" w:rsidP="00EB3544">
      <w:pPr>
        <w:autoSpaceDE w:val="0"/>
        <w:autoSpaceDN w:val="0"/>
        <w:adjustRightInd w:val="0"/>
        <w:spacing w:after="0" w:line="360" w:lineRule="auto"/>
        <w:jc w:val="both"/>
        <w:rPr>
          <w:rFonts w:ascii="Times New Roman" w:hAnsi="Times New Roman" w:cs="Times New Roman"/>
          <w:bCs/>
          <w:sz w:val="24"/>
          <w:szCs w:val="24"/>
        </w:rPr>
      </w:pPr>
      <w:r w:rsidRPr="00EB3544">
        <w:rPr>
          <w:rFonts w:ascii="Times New Roman" w:hAnsi="Times New Roman" w:cs="Times New Roman"/>
          <w:bCs/>
          <w:sz w:val="24"/>
          <w:szCs w:val="24"/>
        </w:rPr>
        <w:t>Cel 1</w:t>
      </w:r>
      <w:r>
        <w:rPr>
          <w:rFonts w:ascii="Times New Roman" w:hAnsi="Times New Roman" w:cs="Times New Roman"/>
          <w:bCs/>
          <w:sz w:val="24"/>
          <w:szCs w:val="24"/>
        </w:rPr>
        <w:t xml:space="preserve"> </w:t>
      </w:r>
      <w:r w:rsidRPr="00EB3544">
        <w:rPr>
          <w:rFonts w:ascii="Times New Roman" w:hAnsi="Times New Roman" w:cs="Times New Roman"/>
          <w:bCs/>
          <w:sz w:val="24"/>
          <w:szCs w:val="24"/>
        </w:rPr>
        <w:t>„Poprawa warunków pracy, promocja zatrudnienia pracowników po</w:t>
      </w:r>
      <w:r>
        <w:rPr>
          <w:rFonts w:ascii="Times New Roman" w:hAnsi="Times New Roman" w:cs="Times New Roman"/>
          <w:bCs/>
          <w:sz w:val="24"/>
          <w:szCs w:val="24"/>
        </w:rPr>
        <w:t xml:space="preserve"> </w:t>
      </w:r>
      <w:r w:rsidR="003B3D53">
        <w:rPr>
          <w:rFonts w:ascii="Times New Roman" w:hAnsi="Times New Roman" w:cs="Times New Roman"/>
          <w:bCs/>
          <w:sz w:val="24"/>
          <w:szCs w:val="24"/>
        </w:rPr>
        <w:t>50</w:t>
      </w:r>
      <w:r w:rsidRPr="00EB3544">
        <w:rPr>
          <w:rFonts w:ascii="Times New Roman" w:hAnsi="Times New Roman" w:cs="Times New Roman"/>
          <w:bCs/>
          <w:sz w:val="24"/>
          <w:szCs w:val="24"/>
        </w:rPr>
        <w:t xml:space="preserve"> roku życia i zarządzanie wiekiem”</w:t>
      </w:r>
    </w:p>
    <w:p w:rsidR="00EB3544" w:rsidRDefault="00EB3544" w:rsidP="00EB3544">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Cel</w:t>
      </w:r>
      <w:r w:rsidRPr="00EB3544">
        <w:rPr>
          <w:rFonts w:ascii="Times New Roman" w:hAnsi="Times New Roman" w:cs="Times New Roman"/>
          <w:bCs/>
          <w:sz w:val="24"/>
          <w:szCs w:val="24"/>
        </w:rPr>
        <w:t xml:space="preserve"> 2</w:t>
      </w:r>
      <w:r>
        <w:rPr>
          <w:rFonts w:ascii="Times New Roman" w:hAnsi="Times New Roman" w:cs="Times New Roman"/>
          <w:bCs/>
          <w:sz w:val="24"/>
          <w:szCs w:val="24"/>
        </w:rPr>
        <w:t xml:space="preserve"> </w:t>
      </w:r>
      <w:r w:rsidRPr="00EB3544">
        <w:rPr>
          <w:rFonts w:ascii="Times New Roman" w:hAnsi="Times New Roman" w:cs="Times New Roman"/>
          <w:bCs/>
          <w:sz w:val="24"/>
          <w:szCs w:val="24"/>
        </w:rPr>
        <w:t>„Poprawa kompetencji i kw</w:t>
      </w:r>
      <w:r w:rsidR="003B3D53">
        <w:rPr>
          <w:rFonts w:ascii="Times New Roman" w:hAnsi="Times New Roman" w:cs="Times New Roman"/>
          <w:bCs/>
          <w:sz w:val="24"/>
          <w:szCs w:val="24"/>
        </w:rPr>
        <w:t>alifikacji pracowników po 50</w:t>
      </w:r>
      <w:r w:rsidRPr="00EB3544">
        <w:rPr>
          <w:rFonts w:ascii="Times New Roman" w:hAnsi="Times New Roman" w:cs="Times New Roman"/>
          <w:bCs/>
          <w:sz w:val="24"/>
          <w:szCs w:val="24"/>
        </w:rPr>
        <w:t xml:space="preserve"> roku</w:t>
      </w:r>
      <w:r>
        <w:rPr>
          <w:rFonts w:ascii="Times New Roman" w:hAnsi="Times New Roman" w:cs="Times New Roman"/>
          <w:bCs/>
          <w:sz w:val="24"/>
          <w:szCs w:val="24"/>
        </w:rPr>
        <w:t xml:space="preserve"> </w:t>
      </w:r>
      <w:r w:rsidRPr="00EB3544">
        <w:rPr>
          <w:rFonts w:ascii="Times New Roman" w:hAnsi="Times New Roman" w:cs="Times New Roman"/>
          <w:bCs/>
          <w:sz w:val="24"/>
          <w:szCs w:val="24"/>
        </w:rPr>
        <w:t>życia”</w:t>
      </w:r>
    </w:p>
    <w:p w:rsidR="00EB3544" w:rsidRDefault="00EB3544" w:rsidP="00EB3544">
      <w:pPr>
        <w:autoSpaceDE w:val="0"/>
        <w:autoSpaceDN w:val="0"/>
        <w:adjustRightInd w:val="0"/>
        <w:spacing w:after="0" w:line="360" w:lineRule="auto"/>
        <w:jc w:val="both"/>
        <w:rPr>
          <w:rFonts w:ascii="Times New Roman" w:hAnsi="Times New Roman" w:cs="Times New Roman"/>
          <w:bCs/>
          <w:sz w:val="24"/>
          <w:szCs w:val="24"/>
        </w:rPr>
      </w:pPr>
      <w:r w:rsidRPr="00EB3544">
        <w:rPr>
          <w:rFonts w:ascii="Times New Roman" w:hAnsi="Times New Roman" w:cs="Times New Roman"/>
          <w:bCs/>
          <w:sz w:val="24"/>
          <w:szCs w:val="24"/>
        </w:rPr>
        <w:t>Cel 3</w:t>
      </w:r>
      <w:r>
        <w:rPr>
          <w:rFonts w:ascii="Times New Roman" w:hAnsi="Times New Roman" w:cs="Times New Roman"/>
          <w:bCs/>
          <w:sz w:val="24"/>
          <w:szCs w:val="24"/>
        </w:rPr>
        <w:t xml:space="preserve"> </w:t>
      </w:r>
      <w:r w:rsidRPr="00EB3544">
        <w:rPr>
          <w:rFonts w:ascii="Times New Roman" w:hAnsi="Times New Roman" w:cs="Times New Roman"/>
          <w:bCs/>
          <w:sz w:val="24"/>
          <w:szCs w:val="24"/>
        </w:rPr>
        <w:t>„Zmniejszenie kosztów pracy związanych z zatrudnieniem</w:t>
      </w:r>
      <w:r>
        <w:rPr>
          <w:rFonts w:ascii="Times New Roman" w:hAnsi="Times New Roman" w:cs="Times New Roman"/>
          <w:bCs/>
          <w:sz w:val="24"/>
          <w:szCs w:val="24"/>
        </w:rPr>
        <w:t xml:space="preserve"> </w:t>
      </w:r>
      <w:r w:rsidR="003B3D53">
        <w:rPr>
          <w:rFonts w:ascii="Times New Roman" w:hAnsi="Times New Roman" w:cs="Times New Roman"/>
          <w:bCs/>
          <w:sz w:val="24"/>
          <w:szCs w:val="24"/>
        </w:rPr>
        <w:t>pracowników po 50</w:t>
      </w:r>
      <w:r w:rsidRPr="00EB3544">
        <w:rPr>
          <w:rFonts w:ascii="Times New Roman" w:hAnsi="Times New Roman" w:cs="Times New Roman"/>
          <w:bCs/>
          <w:sz w:val="24"/>
          <w:szCs w:val="24"/>
        </w:rPr>
        <w:t xml:space="preserve"> roku życia”</w:t>
      </w:r>
    </w:p>
    <w:p w:rsidR="00EB3544" w:rsidRDefault="00EB3544" w:rsidP="00EB3544">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Cel</w:t>
      </w:r>
      <w:r w:rsidRPr="00EB3544">
        <w:rPr>
          <w:rFonts w:ascii="Times New Roman" w:hAnsi="Times New Roman" w:cs="Times New Roman"/>
          <w:bCs/>
          <w:sz w:val="24"/>
          <w:szCs w:val="24"/>
        </w:rPr>
        <w:t xml:space="preserve"> 4</w:t>
      </w:r>
      <w:r>
        <w:rPr>
          <w:rFonts w:ascii="Times New Roman" w:hAnsi="Times New Roman" w:cs="Times New Roman"/>
          <w:bCs/>
          <w:sz w:val="24"/>
          <w:szCs w:val="24"/>
        </w:rPr>
        <w:t xml:space="preserve"> </w:t>
      </w:r>
      <w:r w:rsidRPr="00EB3544">
        <w:rPr>
          <w:rFonts w:ascii="Times New Roman" w:hAnsi="Times New Roman" w:cs="Times New Roman"/>
          <w:bCs/>
          <w:sz w:val="24"/>
          <w:szCs w:val="24"/>
        </w:rPr>
        <w:t>„Aktywizacja bezrobotnych lub zagrożonych utratą pracy po 50</w:t>
      </w:r>
      <w:r>
        <w:rPr>
          <w:rFonts w:ascii="Times New Roman" w:hAnsi="Times New Roman" w:cs="Times New Roman"/>
          <w:bCs/>
          <w:sz w:val="24"/>
          <w:szCs w:val="24"/>
        </w:rPr>
        <w:t xml:space="preserve"> </w:t>
      </w:r>
      <w:r w:rsidRPr="00EB3544">
        <w:rPr>
          <w:rFonts w:ascii="Times New Roman" w:hAnsi="Times New Roman" w:cs="Times New Roman"/>
          <w:bCs/>
          <w:sz w:val="24"/>
          <w:szCs w:val="24"/>
        </w:rPr>
        <w:t>roku życia”</w:t>
      </w:r>
    </w:p>
    <w:p w:rsidR="00EB3544" w:rsidRDefault="00EB3544" w:rsidP="00EB3544">
      <w:pPr>
        <w:autoSpaceDE w:val="0"/>
        <w:autoSpaceDN w:val="0"/>
        <w:adjustRightInd w:val="0"/>
        <w:spacing w:after="0" w:line="360" w:lineRule="auto"/>
        <w:jc w:val="both"/>
        <w:rPr>
          <w:rFonts w:ascii="Times New Roman" w:hAnsi="Times New Roman" w:cs="Times New Roman"/>
          <w:bCs/>
          <w:sz w:val="24"/>
          <w:szCs w:val="24"/>
        </w:rPr>
      </w:pPr>
      <w:r w:rsidRPr="00EB3544">
        <w:rPr>
          <w:rFonts w:ascii="Times New Roman" w:hAnsi="Times New Roman" w:cs="Times New Roman"/>
          <w:bCs/>
          <w:sz w:val="24"/>
          <w:szCs w:val="24"/>
        </w:rPr>
        <w:t>Cel 5</w:t>
      </w:r>
      <w:r>
        <w:rPr>
          <w:rFonts w:ascii="Times New Roman" w:hAnsi="Times New Roman" w:cs="Times New Roman"/>
          <w:bCs/>
          <w:sz w:val="24"/>
          <w:szCs w:val="24"/>
        </w:rPr>
        <w:t xml:space="preserve"> </w:t>
      </w:r>
      <w:r w:rsidRPr="00EB3544">
        <w:rPr>
          <w:rFonts w:ascii="Times New Roman" w:hAnsi="Times New Roman" w:cs="Times New Roman"/>
          <w:bCs/>
          <w:sz w:val="24"/>
          <w:szCs w:val="24"/>
        </w:rPr>
        <w:t>„Aktywizacja zawodowa osób niepełnosprawnych”</w:t>
      </w:r>
    </w:p>
    <w:p w:rsidR="00EB3544" w:rsidRDefault="00EB3544" w:rsidP="00EB3544">
      <w:pPr>
        <w:autoSpaceDE w:val="0"/>
        <w:autoSpaceDN w:val="0"/>
        <w:adjustRightInd w:val="0"/>
        <w:spacing w:after="0" w:line="360" w:lineRule="auto"/>
        <w:jc w:val="both"/>
        <w:rPr>
          <w:rFonts w:ascii="Times New Roman" w:hAnsi="Times New Roman" w:cs="Times New Roman"/>
          <w:bCs/>
          <w:sz w:val="24"/>
          <w:szCs w:val="24"/>
        </w:rPr>
      </w:pPr>
      <w:r w:rsidRPr="00EB3544">
        <w:rPr>
          <w:rFonts w:ascii="Times New Roman" w:hAnsi="Times New Roman" w:cs="Times New Roman"/>
          <w:bCs/>
          <w:sz w:val="24"/>
          <w:szCs w:val="24"/>
        </w:rPr>
        <w:t>Cel 6</w:t>
      </w:r>
      <w:r>
        <w:rPr>
          <w:rFonts w:ascii="Times New Roman" w:hAnsi="Times New Roman" w:cs="Times New Roman"/>
          <w:bCs/>
          <w:sz w:val="24"/>
          <w:szCs w:val="24"/>
        </w:rPr>
        <w:t xml:space="preserve"> </w:t>
      </w:r>
      <w:r w:rsidRPr="00EB3544">
        <w:rPr>
          <w:rFonts w:ascii="Times New Roman" w:hAnsi="Times New Roman" w:cs="Times New Roman"/>
          <w:bCs/>
          <w:sz w:val="24"/>
          <w:szCs w:val="24"/>
        </w:rPr>
        <w:t>„Zwiększenie możliwości zatrudnienia kobiet przez rozwój usług</w:t>
      </w:r>
      <w:r>
        <w:rPr>
          <w:rFonts w:ascii="Times New Roman" w:hAnsi="Times New Roman" w:cs="Times New Roman"/>
          <w:bCs/>
          <w:sz w:val="24"/>
          <w:szCs w:val="24"/>
        </w:rPr>
        <w:t xml:space="preserve"> </w:t>
      </w:r>
      <w:r w:rsidRPr="00EB3544">
        <w:rPr>
          <w:rFonts w:ascii="Times New Roman" w:hAnsi="Times New Roman" w:cs="Times New Roman"/>
          <w:bCs/>
          <w:sz w:val="24"/>
          <w:szCs w:val="24"/>
        </w:rPr>
        <w:t>pozwalających na godzenie pracy i życia rodzinnego”</w:t>
      </w:r>
    </w:p>
    <w:p w:rsidR="00EB3544" w:rsidRDefault="00EB3544" w:rsidP="00EB3544">
      <w:pPr>
        <w:autoSpaceDE w:val="0"/>
        <w:autoSpaceDN w:val="0"/>
        <w:adjustRightInd w:val="0"/>
        <w:spacing w:after="0" w:line="360" w:lineRule="auto"/>
        <w:jc w:val="both"/>
        <w:rPr>
          <w:rFonts w:ascii="Times New Roman" w:hAnsi="Times New Roman" w:cs="Times New Roman"/>
          <w:bCs/>
          <w:sz w:val="24"/>
          <w:szCs w:val="24"/>
        </w:rPr>
      </w:pPr>
      <w:r w:rsidRPr="00EB3544">
        <w:rPr>
          <w:rFonts w:ascii="Times New Roman" w:hAnsi="Times New Roman" w:cs="Times New Roman"/>
          <w:bCs/>
          <w:sz w:val="24"/>
          <w:szCs w:val="24"/>
        </w:rPr>
        <w:t>Cel 7</w:t>
      </w:r>
      <w:r>
        <w:rPr>
          <w:rFonts w:ascii="Times New Roman" w:hAnsi="Times New Roman" w:cs="Times New Roman"/>
          <w:bCs/>
          <w:sz w:val="24"/>
          <w:szCs w:val="24"/>
        </w:rPr>
        <w:t xml:space="preserve"> </w:t>
      </w:r>
      <w:r w:rsidRPr="00EB3544">
        <w:rPr>
          <w:rFonts w:ascii="Times New Roman" w:hAnsi="Times New Roman" w:cs="Times New Roman"/>
          <w:bCs/>
          <w:sz w:val="24"/>
          <w:szCs w:val="24"/>
        </w:rPr>
        <w:t>„Wydłużanie efektywnego wieku emerytalnego”</w:t>
      </w:r>
      <w:r w:rsidR="003C3ADF">
        <w:rPr>
          <w:rFonts w:ascii="Times New Roman" w:hAnsi="Times New Roman" w:cs="Times New Roman"/>
          <w:bCs/>
          <w:sz w:val="24"/>
          <w:szCs w:val="24"/>
        </w:rPr>
        <w:t>.</w:t>
      </w:r>
    </w:p>
    <w:p w:rsidR="003C3ADF" w:rsidRPr="00EB3544" w:rsidRDefault="003C3ADF" w:rsidP="00EB35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ab/>
        <w:t>W Wielkopolsce działania wpisujące się w założenia programu „Solidarność pokoleń” realizowane są w ramach Programu Operacyjnego Kapitał Ludzki. Wsparciem objęto osoby po 50 roku życia, zainteresowane podjęciem kształcenia ustawicznego, co pozwoliło im uzupełnić lub podwyższyć wykształcenie i kwalifikacje zawodowe. Realizowano także szkolenia e-</w:t>
      </w:r>
      <w:proofErr w:type="spellStart"/>
      <w:r>
        <w:rPr>
          <w:rFonts w:ascii="Times New Roman" w:hAnsi="Times New Roman" w:cs="Times New Roman"/>
          <w:bCs/>
          <w:sz w:val="24"/>
          <w:szCs w:val="24"/>
        </w:rPr>
        <w:t>learningowe</w:t>
      </w:r>
      <w:proofErr w:type="spellEnd"/>
      <w:r>
        <w:rPr>
          <w:rFonts w:ascii="Times New Roman" w:hAnsi="Times New Roman" w:cs="Times New Roman"/>
          <w:bCs/>
          <w:sz w:val="24"/>
          <w:szCs w:val="24"/>
        </w:rPr>
        <w:t xml:space="preserve"> dające możliwość poznania i wykorzystania nowoczesnych technologii informacyjno-komunikacyjnych. Pracownicy z firm przechodzących procesy restrukturyzacyjne</w:t>
      </w:r>
      <w:r w:rsidR="003334B2">
        <w:rPr>
          <w:rFonts w:ascii="Times New Roman" w:hAnsi="Times New Roman" w:cs="Times New Roman"/>
          <w:bCs/>
          <w:sz w:val="24"/>
          <w:szCs w:val="24"/>
        </w:rPr>
        <w:t>, w tym osoby po 50 roku życia,</w:t>
      </w:r>
      <w:r>
        <w:rPr>
          <w:rFonts w:ascii="Times New Roman" w:hAnsi="Times New Roman" w:cs="Times New Roman"/>
          <w:bCs/>
          <w:sz w:val="24"/>
          <w:szCs w:val="24"/>
        </w:rPr>
        <w:t xml:space="preserve"> otrzymali wsparcie w formie programów </w:t>
      </w:r>
      <w:proofErr w:type="spellStart"/>
      <w:r>
        <w:rPr>
          <w:rFonts w:ascii="Times New Roman" w:hAnsi="Times New Roman" w:cs="Times New Roman"/>
          <w:bCs/>
          <w:sz w:val="24"/>
          <w:szCs w:val="24"/>
        </w:rPr>
        <w:lastRenderedPageBreak/>
        <w:t>outplacementowych</w:t>
      </w:r>
      <w:proofErr w:type="spellEnd"/>
      <w:r w:rsidR="00511D4C">
        <w:rPr>
          <w:rStyle w:val="Odwoanieprzypisudolnego"/>
          <w:rFonts w:ascii="Times New Roman" w:hAnsi="Times New Roman" w:cs="Times New Roman"/>
          <w:bCs/>
          <w:sz w:val="24"/>
          <w:szCs w:val="24"/>
        </w:rPr>
        <w:footnoteReference w:id="1"/>
      </w:r>
      <w:r>
        <w:rPr>
          <w:rFonts w:ascii="Times New Roman" w:hAnsi="Times New Roman" w:cs="Times New Roman"/>
          <w:bCs/>
          <w:sz w:val="24"/>
          <w:szCs w:val="24"/>
        </w:rPr>
        <w:t>. Realizowano również działania zapobi</w:t>
      </w:r>
      <w:r w:rsidR="003334B2">
        <w:rPr>
          <w:rFonts w:ascii="Times New Roman" w:hAnsi="Times New Roman" w:cs="Times New Roman"/>
          <w:bCs/>
          <w:sz w:val="24"/>
          <w:szCs w:val="24"/>
        </w:rPr>
        <w:t>egające wykluczeniu społecznemu, w tym działania ukierunkowane na aktywizację społeczno-zawodową osób po 50 roku życia.</w:t>
      </w:r>
      <w:r w:rsidR="00E23900">
        <w:rPr>
          <w:rFonts w:ascii="Times New Roman" w:hAnsi="Times New Roman" w:cs="Times New Roman"/>
          <w:bCs/>
          <w:sz w:val="24"/>
          <w:szCs w:val="24"/>
        </w:rPr>
        <w:t xml:space="preserve"> Wśród pracodawców upowszechniano i promowano elastyczne formy zatrudnienia, jako alternatywne formy, mające na celu zachęcenie do zatrudniania osób powyżej 50 roku życia.</w:t>
      </w:r>
      <w:r w:rsidR="008931F9">
        <w:rPr>
          <w:rFonts w:ascii="Times New Roman" w:hAnsi="Times New Roman" w:cs="Times New Roman"/>
          <w:bCs/>
          <w:sz w:val="24"/>
          <w:szCs w:val="24"/>
        </w:rPr>
        <w:t xml:space="preserve"> Beneficjentów projektów objęto także wsparciem poprzez realizację usługi doradztwa zawodowego, jak również objęcie aktywnymi formami przeciwdziałania bezrobociu, takimi jak szkolenia, staże czy bezzwrotne wsparcie dla osób zamierzających rozpocząć prowadzenie działalności gospodarczej.</w:t>
      </w:r>
    </w:p>
    <w:p w:rsidR="009753C4" w:rsidRDefault="009753C4" w:rsidP="00DF09E9">
      <w:pPr>
        <w:spacing w:after="0" w:line="360" w:lineRule="auto"/>
        <w:rPr>
          <w:rFonts w:asciiTheme="majorHAnsi" w:eastAsiaTheme="majorEastAsia" w:hAnsiTheme="majorHAnsi" w:cstheme="majorBidi"/>
          <w:b/>
          <w:bCs/>
          <w:color w:val="365F91" w:themeColor="accent1" w:themeShade="BF"/>
          <w:sz w:val="28"/>
          <w:szCs w:val="28"/>
        </w:rPr>
      </w:pPr>
      <w:r>
        <w:br w:type="page"/>
      </w:r>
    </w:p>
    <w:p w:rsidR="007E709D" w:rsidRPr="007E709D" w:rsidRDefault="007E709D" w:rsidP="00730B52">
      <w:pPr>
        <w:pStyle w:val="Nagwek1"/>
        <w:numPr>
          <w:ilvl w:val="0"/>
          <w:numId w:val="5"/>
        </w:numPr>
        <w:spacing w:before="0" w:line="360" w:lineRule="auto"/>
        <w:ind w:left="567" w:hanging="567"/>
        <w:jc w:val="both"/>
      </w:pPr>
      <w:bookmarkStart w:id="18" w:name="_Toc333477267"/>
      <w:r w:rsidRPr="007E709D">
        <w:lastRenderedPageBreak/>
        <w:t>Działania W</w:t>
      </w:r>
      <w:r w:rsidR="002873EC">
        <w:t xml:space="preserve">ojewódzkiego </w:t>
      </w:r>
      <w:r w:rsidRPr="007E709D">
        <w:t>U</w:t>
      </w:r>
      <w:r w:rsidR="002873EC">
        <w:t xml:space="preserve">rzędu </w:t>
      </w:r>
      <w:r w:rsidRPr="007E709D">
        <w:t>P</w:t>
      </w:r>
      <w:r w:rsidR="002873EC">
        <w:t>racy</w:t>
      </w:r>
      <w:r w:rsidRPr="007E709D">
        <w:t xml:space="preserve"> w Poznaniu na rzecz aktywizacji zawodowej osób młodych i starszych</w:t>
      </w:r>
      <w:bookmarkEnd w:id="18"/>
    </w:p>
    <w:p w:rsidR="001F6773" w:rsidRDefault="001F6773" w:rsidP="00DF09E9">
      <w:pPr>
        <w:spacing w:after="0" w:line="360" w:lineRule="auto"/>
        <w:rPr>
          <w:color w:val="1F497D" w:themeColor="text2"/>
          <w:sz w:val="32"/>
          <w:szCs w:val="32"/>
        </w:rPr>
      </w:pPr>
    </w:p>
    <w:p w:rsidR="00FB6536" w:rsidRDefault="00FB6536" w:rsidP="001F6773">
      <w:pPr>
        <w:spacing w:after="0" w:line="360" w:lineRule="auto"/>
        <w:ind w:firstLine="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Działania na rzecz osób bezrobotnych i poszukujących pracy, w tym do 30 oraz powyżej 45/50 roku życia, prowadzi także WUP w Poznaniu. W szczególności są to działania z zakresu poradnictwa </w:t>
      </w:r>
      <w:r w:rsidR="00D91E7A">
        <w:rPr>
          <w:rFonts w:ascii="Times New Roman" w:eastAsia="Times New Roman" w:hAnsi="Times New Roman" w:cs="Times New Roman"/>
          <w:sz w:val="24"/>
          <w:szCs w:val="24"/>
          <w:lang w:eastAsia="pl-PL"/>
        </w:rPr>
        <w:t xml:space="preserve">zawodowego i pośrednictwa pracy, ale także </w:t>
      </w:r>
      <w:r w:rsidR="00AE0364">
        <w:rPr>
          <w:rFonts w:ascii="Times New Roman" w:eastAsia="Times New Roman" w:hAnsi="Times New Roman" w:cs="Times New Roman"/>
          <w:sz w:val="24"/>
          <w:szCs w:val="24"/>
          <w:lang w:eastAsia="pl-PL"/>
        </w:rPr>
        <w:t>projekty własne realizowane w ramach Programu Operacyjnego Kapitał Ludzki.</w:t>
      </w:r>
    </w:p>
    <w:p w:rsidR="001F6773" w:rsidRPr="001F6773" w:rsidRDefault="001F6773" w:rsidP="001F6773">
      <w:pPr>
        <w:spacing w:after="0" w:line="360" w:lineRule="auto"/>
        <w:ind w:firstLine="567"/>
        <w:jc w:val="both"/>
        <w:rPr>
          <w:rFonts w:ascii="Times New Roman" w:eastAsia="Times New Roman" w:hAnsi="Times New Roman" w:cs="Times New Roman"/>
          <w:sz w:val="24"/>
          <w:szCs w:val="24"/>
          <w:lang w:eastAsia="pl-PL"/>
        </w:rPr>
      </w:pPr>
      <w:r w:rsidRPr="001F6773">
        <w:rPr>
          <w:rFonts w:ascii="Times New Roman" w:eastAsia="Times New Roman" w:hAnsi="Times New Roman" w:cs="Times New Roman"/>
          <w:sz w:val="24"/>
          <w:szCs w:val="24"/>
          <w:lang w:eastAsia="pl-PL"/>
        </w:rPr>
        <w:t>W latach 2009-2011</w:t>
      </w:r>
      <w:r>
        <w:rPr>
          <w:rFonts w:ascii="Times New Roman" w:eastAsia="Times New Roman" w:hAnsi="Times New Roman" w:cs="Times New Roman"/>
          <w:sz w:val="24"/>
          <w:szCs w:val="24"/>
          <w:lang w:eastAsia="pl-PL"/>
        </w:rPr>
        <w:t>,</w:t>
      </w:r>
      <w:r w:rsidRPr="001F6773">
        <w:rPr>
          <w:rFonts w:ascii="Times New Roman" w:eastAsia="Times New Roman" w:hAnsi="Times New Roman" w:cs="Times New Roman"/>
          <w:sz w:val="24"/>
          <w:szCs w:val="24"/>
          <w:lang w:eastAsia="pl-PL"/>
        </w:rPr>
        <w:t xml:space="preserve"> osoby bezrobotne i poszukujące pracy poniżej 30 oraz powyżej 45/50 roku życia</w:t>
      </w:r>
      <w:r>
        <w:rPr>
          <w:rFonts w:ascii="Times New Roman" w:eastAsia="Times New Roman" w:hAnsi="Times New Roman" w:cs="Times New Roman"/>
          <w:sz w:val="24"/>
          <w:szCs w:val="24"/>
          <w:lang w:eastAsia="pl-PL"/>
        </w:rPr>
        <w:t>,</w:t>
      </w:r>
      <w:r w:rsidRPr="001F6773">
        <w:rPr>
          <w:rFonts w:ascii="Times New Roman" w:eastAsia="Times New Roman" w:hAnsi="Times New Roman" w:cs="Times New Roman"/>
          <w:sz w:val="24"/>
          <w:szCs w:val="24"/>
          <w:lang w:eastAsia="pl-PL"/>
        </w:rPr>
        <w:t xml:space="preserve"> mogły skorzystać z usług poradnictwa zawodowego i informacji zawodowej w formie konsultacji indywidualnych i spotkań grupowych, ukierunkowanych na wspieranie aktywnych postaw na rynku pracy, rozwijanie kompetencji ułatwiających funkcjonowanie w</w:t>
      </w:r>
      <w:r>
        <w:rPr>
          <w:rFonts w:ascii="Times New Roman" w:eastAsia="Times New Roman" w:hAnsi="Times New Roman" w:cs="Times New Roman"/>
          <w:sz w:val="24"/>
          <w:szCs w:val="24"/>
          <w:lang w:eastAsia="pl-PL"/>
        </w:rPr>
        <w:t xml:space="preserve"> </w:t>
      </w:r>
      <w:r w:rsidRPr="001F6773">
        <w:rPr>
          <w:rFonts w:ascii="Times New Roman" w:eastAsia="Times New Roman" w:hAnsi="Times New Roman" w:cs="Times New Roman"/>
          <w:sz w:val="24"/>
          <w:szCs w:val="24"/>
          <w:lang w:eastAsia="pl-PL"/>
        </w:rPr>
        <w:t xml:space="preserve">środowisku pracy, motywowanie do kształcenia się przez całe życie. </w:t>
      </w:r>
    </w:p>
    <w:p w:rsidR="001F6773" w:rsidRPr="001F6773" w:rsidRDefault="001F6773" w:rsidP="001F6773">
      <w:pPr>
        <w:spacing w:after="0" w:line="360" w:lineRule="auto"/>
        <w:jc w:val="both"/>
        <w:rPr>
          <w:rFonts w:ascii="Times New Roman" w:eastAsia="Times New Roman" w:hAnsi="Times New Roman" w:cs="Times New Roman"/>
          <w:sz w:val="24"/>
          <w:szCs w:val="24"/>
          <w:lang w:eastAsia="pl-PL"/>
        </w:rPr>
      </w:pPr>
      <w:r w:rsidRPr="001F6773">
        <w:rPr>
          <w:rFonts w:ascii="Times New Roman" w:eastAsia="Times New Roman" w:hAnsi="Times New Roman" w:cs="Times New Roman"/>
          <w:sz w:val="24"/>
          <w:szCs w:val="24"/>
          <w:lang w:eastAsia="pl-PL"/>
        </w:rPr>
        <w:tab/>
        <w:t>Ze szczególnym uwzględnieniem grupy klientów poniżej 30 roku życia</w:t>
      </w:r>
      <w:r>
        <w:rPr>
          <w:rFonts w:ascii="Times New Roman" w:eastAsia="Times New Roman" w:hAnsi="Times New Roman" w:cs="Times New Roman"/>
          <w:sz w:val="24"/>
          <w:szCs w:val="24"/>
          <w:lang w:eastAsia="pl-PL"/>
        </w:rPr>
        <w:t>,</w:t>
      </w:r>
      <w:r w:rsidRPr="001F6773">
        <w:rPr>
          <w:rFonts w:ascii="Times New Roman" w:eastAsia="Times New Roman" w:hAnsi="Times New Roman" w:cs="Times New Roman"/>
          <w:sz w:val="24"/>
          <w:szCs w:val="24"/>
          <w:lang w:eastAsia="pl-PL"/>
        </w:rPr>
        <w:t xml:space="preserve"> organizowano zajęcia związane z tematyką przedsiębiorczości: „Działaj, zostań przedsiębiorcą”, „Odkryj swoja przedsiębiorczość”, „Przedsiębiorczość, czyli jak zaistnieć na rynku pracy”, „A może własna firma”, „Dotacja unijna na własną firmę”. Rosnąca liczba przeprowadzonych z tego zakresu warsztatów (rok 2009 - 12 edycji, rok 2010 - 27 edycji, rok 2011 - 28 edycji), wskazuje na duże zainteresowanie klientów tematyką przedsiębiorczości.</w:t>
      </w:r>
    </w:p>
    <w:p w:rsidR="001F6773" w:rsidRPr="001F6773" w:rsidRDefault="001F6773" w:rsidP="001F6773">
      <w:pPr>
        <w:spacing w:after="0" w:line="360" w:lineRule="auto"/>
        <w:jc w:val="both"/>
        <w:rPr>
          <w:rFonts w:ascii="Times New Roman" w:eastAsia="Times New Roman" w:hAnsi="Times New Roman" w:cs="Times New Roman"/>
          <w:sz w:val="24"/>
          <w:szCs w:val="24"/>
          <w:lang w:eastAsia="pl-PL"/>
        </w:rPr>
      </w:pPr>
      <w:r w:rsidRPr="001F6773">
        <w:rPr>
          <w:rFonts w:ascii="Times New Roman" w:eastAsia="Times New Roman" w:hAnsi="Times New Roman" w:cs="Times New Roman"/>
          <w:sz w:val="24"/>
          <w:szCs w:val="24"/>
          <w:lang w:eastAsia="pl-PL"/>
        </w:rPr>
        <w:tab/>
        <w:t>Ponadto</w:t>
      </w:r>
      <w:r>
        <w:rPr>
          <w:rFonts w:ascii="Times New Roman" w:eastAsia="Times New Roman" w:hAnsi="Times New Roman" w:cs="Times New Roman"/>
          <w:sz w:val="24"/>
          <w:szCs w:val="24"/>
          <w:lang w:eastAsia="pl-PL"/>
        </w:rPr>
        <w:t>,</w:t>
      </w:r>
      <w:r w:rsidRPr="001F6773">
        <w:rPr>
          <w:rFonts w:ascii="Times New Roman" w:eastAsia="Times New Roman" w:hAnsi="Times New Roman" w:cs="Times New Roman"/>
          <w:sz w:val="24"/>
          <w:szCs w:val="24"/>
          <w:lang w:eastAsia="pl-PL"/>
        </w:rPr>
        <w:t xml:space="preserve"> poprzez zorganizowanie cyklu spotkań informacyjnych, realizowano działania związane z aktywizacją zawodową młodzieży kończącej edukację. W omawianym okresie młodzież mogła uczestniczyć w 108 spotkaniach przygotowujących do wejścia na</w:t>
      </w:r>
      <w:r>
        <w:rPr>
          <w:rFonts w:ascii="Times New Roman" w:eastAsia="Times New Roman" w:hAnsi="Times New Roman" w:cs="Times New Roman"/>
          <w:sz w:val="24"/>
          <w:szCs w:val="24"/>
          <w:lang w:eastAsia="pl-PL"/>
        </w:rPr>
        <w:t xml:space="preserve"> </w:t>
      </w:r>
      <w:r w:rsidRPr="001F6773">
        <w:rPr>
          <w:rFonts w:ascii="Times New Roman" w:eastAsia="Times New Roman" w:hAnsi="Times New Roman" w:cs="Times New Roman"/>
          <w:sz w:val="24"/>
          <w:szCs w:val="24"/>
          <w:lang w:eastAsia="pl-PL"/>
        </w:rPr>
        <w:t>rynek pracy, związanych z</w:t>
      </w:r>
      <w:r>
        <w:rPr>
          <w:rFonts w:ascii="Times New Roman" w:eastAsia="Times New Roman" w:hAnsi="Times New Roman" w:cs="Times New Roman"/>
          <w:sz w:val="24"/>
          <w:szCs w:val="24"/>
          <w:lang w:eastAsia="pl-PL"/>
        </w:rPr>
        <w:t xml:space="preserve"> </w:t>
      </w:r>
      <w:r w:rsidRPr="001F6773">
        <w:rPr>
          <w:rFonts w:ascii="Times New Roman" w:eastAsia="Times New Roman" w:hAnsi="Times New Roman" w:cs="Times New Roman"/>
          <w:sz w:val="24"/>
          <w:szCs w:val="24"/>
          <w:lang w:eastAsia="pl-PL"/>
        </w:rPr>
        <w:t>planowaniem kariery zawodow</w:t>
      </w:r>
      <w:r>
        <w:rPr>
          <w:rFonts w:ascii="Times New Roman" w:eastAsia="Times New Roman" w:hAnsi="Times New Roman" w:cs="Times New Roman"/>
          <w:sz w:val="24"/>
          <w:szCs w:val="24"/>
          <w:lang w:eastAsia="pl-PL"/>
        </w:rPr>
        <w:t xml:space="preserve">ej, określaniem predyspozycji </w:t>
      </w:r>
      <w:r>
        <w:rPr>
          <w:rFonts w:ascii="Times New Roman" w:eastAsia="Times New Roman" w:hAnsi="Times New Roman" w:cs="Times New Roman"/>
          <w:sz w:val="24"/>
          <w:szCs w:val="24"/>
          <w:lang w:eastAsia="pl-PL"/>
        </w:rPr>
        <w:br/>
        <w:t xml:space="preserve">i </w:t>
      </w:r>
      <w:r w:rsidRPr="001F6773">
        <w:rPr>
          <w:rFonts w:ascii="Times New Roman" w:eastAsia="Times New Roman" w:hAnsi="Times New Roman" w:cs="Times New Roman"/>
          <w:sz w:val="24"/>
          <w:szCs w:val="24"/>
          <w:lang w:eastAsia="pl-PL"/>
        </w:rPr>
        <w:t>zainteresowań zawodowych.</w:t>
      </w:r>
    </w:p>
    <w:p w:rsidR="001F6773" w:rsidRPr="001F6773" w:rsidRDefault="001F6773" w:rsidP="001F6773">
      <w:pPr>
        <w:spacing w:after="0" w:line="360" w:lineRule="auto"/>
        <w:jc w:val="both"/>
        <w:rPr>
          <w:rFonts w:ascii="Times New Roman" w:eastAsia="Times New Roman" w:hAnsi="Times New Roman" w:cs="Times New Roman"/>
          <w:sz w:val="24"/>
          <w:szCs w:val="24"/>
          <w:lang w:eastAsia="pl-PL"/>
        </w:rPr>
      </w:pPr>
      <w:r w:rsidRPr="001F6773">
        <w:rPr>
          <w:rFonts w:ascii="Times New Roman" w:eastAsia="Times New Roman" w:hAnsi="Times New Roman" w:cs="Times New Roman"/>
          <w:sz w:val="24"/>
          <w:szCs w:val="24"/>
          <w:lang w:eastAsia="pl-PL"/>
        </w:rPr>
        <w:tab/>
        <w:t>Dla klientów powyżej 45/50 roku życia</w:t>
      </w:r>
      <w:r>
        <w:rPr>
          <w:rFonts w:ascii="Times New Roman" w:eastAsia="Times New Roman" w:hAnsi="Times New Roman" w:cs="Times New Roman"/>
          <w:sz w:val="24"/>
          <w:szCs w:val="24"/>
          <w:lang w:eastAsia="pl-PL"/>
        </w:rPr>
        <w:t>,</w:t>
      </w:r>
      <w:r w:rsidRPr="001F6773">
        <w:rPr>
          <w:rFonts w:ascii="Times New Roman" w:eastAsia="Times New Roman" w:hAnsi="Times New Roman" w:cs="Times New Roman"/>
          <w:sz w:val="24"/>
          <w:szCs w:val="24"/>
          <w:lang w:eastAsia="pl-PL"/>
        </w:rPr>
        <w:t xml:space="preserve"> przeznaczone były warsztaty komputerowe na</w:t>
      </w:r>
      <w:r>
        <w:rPr>
          <w:rFonts w:ascii="Times New Roman" w:eastAsia="Times New Roman" w:hAnsi="Times New Roman" w:cs="Times New Roman"/>
          <w:sz w:val="24"/>
          <w:szCs w:val="24"/>
          <w:lang w:eastAsia="pl-PL"/>
        </w:rPr>
        <w:t xml:space="preserve"> </w:t>
      </w:r>
      <w:r w:rsidRPr="001F6773">
        <w:rPr>
          <w:rFonts w:ascii="Times New Roman" w:eastAsia="Times New Roman" w:hAnsi="Times New Roman" w:cs="Times New Roman"/>
          <w:sz w:val="24"/>
          <w:szCs w:val="24"/>
          <w:lang w:eastAsia="pl-PL"/>
        </w:rPr>
        <w:t>temat poszukiwania pracy za pomocą komputera i Internetu: „Komputer i</w:t>
      </w:r>
      <w:r>
        <w:rPr>
          <w:rFonts w:ascii="Times New Roman" w:eastAsia="Times New Roman" w:hAnsi="Times New Roman" w:cs="Times New Roman"/>
          <w:sz w:val="24"/>
          <w:szCs w:val="24"/>
          <w:lang w:eastAsia="pl-PL"/>
        </w:rPr>
        <w:t xml:space="preserve"> </w:t>
      </w:r>
      <w:r w:rsidRPr="001F6773">
        <w:rPr>
          <w:rFonts w:ascii="Times New Roman" w:eastAsia="Times New Roman" w:hAnsi="Times New Roman" w:cs="Times New Roman"/>
          <w:sz w:val="24"/>
          <w:szCs w:val="24"/>
          <w:lang w:eastAsia="pl-PL"/>
        </w:rPr>
        <w:t>Internet jako narzędzie poszukiwania pracy”, „Komputer pomocny w poszukiwaniu pracy” oraz inne ukierunkowane na problematykę osób pozostających w tr</w:t>
      </w:r>
      <w:r>
        <w:rPr>
          <w:rFonts w:ascii="Times New Roman" w:eastAsia="Times New Roman" w:hAnsi="Times New Roman" w:cs="Times New Roman"/>
          <w:sz w:val="24"/>
          <w:szCs w:val="24"/>
          <w:lang w:eastAsia="pl-PL"/>
        </w:rPr>
        <w:t xml:space="preserve">udnej sytuacji na rynku pracy </w:t>
      </w:r>
      <w:r>
        <w:rPr>
          <w:rFonts w:ascii="Times New Roman" w:eastAsia="Times New Roman" w:hAnsi="Times New Roman" w:cs="Times New Roman"/>
          <w:sz w:val="24"/>
          <w:szCs w:val="24"/>
          <w:lang w:eastAsia="pl-PL"/>
        </w:rPr>
        <w:br/>
        <w:t xml:space="preserve">i </w:t>
      </w:r>
      <w:r w:rsidRPr="001F6773">
        <w:rPr>
          <w:rFonts w:ascii="Times New Roman" w:eastAsia="Times New Roman" w:hAnsi="Times New Roman" w:cs="Times New Roman"/>
          <w:sz w:val="24"/>
          <w:szCs w:val="24"/>
          <w:lang w:eastAsia="pl-PL"/>
        </w:rPr>
        <w:t xml:space="preserve">rozwijające mobilność zawodową: „Warsztaty aktywnego poszukiwania pracy”, „Jak zmienić swoje życie na lepsze”, „Trening umiejętności asertywnych”, </w:t>
      </w:r>
      <w:r w:rsidR="00730FFE">
        <w:rPr>
          <w:rFonts w:ascii="Times New Roman" w:eastAsia="Times New Roman" w:hAnsi="Times New Roman" w:cs="Times New Roman"/>
          <w:sz w:val="24"/>
          <w:szCs w:val="24"/>
          <w:lang w:eastAsia="pl-PL"/>
        </w:rPr>
        <w:t>„</w:t>
      </w:r>
      <w:r w:rsidRPr="001F6773">
        <w:rPr>
          <w:rFonts w:ascii="Times New Roman" w:eastAsia="Times New Roman" w:hAnsi="Times New Roman" w:cs="Times New Roman"/>
          <w:sz w:val="24"/>
          <w:szCs w:val="24"/>
          <w:lang w:eastAsia="pl-PL"/>
        </w:rPr>
        <w:t>Chcę, mogę, potrafię”, „Autoprezentacja – znajdź w sobie mocne strony”, „Powrót na rynek pracy”, „Przełamywanie wewnętrznych barier”, „Jak zwiększyć swoje szanse na rynku pracy”, „Jak radzić sobie ze</w:t>
      </w:r>
      <w:r>
        <w:rPr>
          <w:rFonts w:ascii="Times New Roman" w:eastAsia="Times New Roman" w:hAnsi="Times New Roman" w:cs="Times New Roman"/>
          <w:sz w:val="24"/>
          <w:szCs w:val="24"/>
          <w:lang w:eastAsia="pl-PL"/>
        </w:rPr>
        <w:t xml:space="preserve"> </w:t>
      </w:r>
      <w:r w:rsidRPr="001F6773">
        <w:rPr>
          <w:rFonts w:ascii="Times New Roman" w:eastAsia="Times New Roman" w:hAnsi="Times New Roman" w:cs="Times New Roman"/>
          <w:sz w:val="24"/>
          <w:szCs w:val="24"/>
          <w:lang w:eastAsia="pl-PL"/>
        </w:rPr>
        <w:t xml:space="preserve">stresem”. Liczba powyższych zajęć przeprowadzonych na przestrzeni lat 2009-2011 istotnie </w:t>
      </w:r>
      <w:r w:rsidRPr="001F6773">
        <w:rPr>
          <w:rFonts w:ascii="Times New Roman" w:eastAsia="Times New Roman" w:hAnsi="Times New Roman" w:cs="Times New Roman"/>
          <w:sz w:val="24"/>
          <w:szCs w:val="24"/>
          <w:lang w:eastAsia="pl-PL"/>
        </w:rPr>
        <w:lastRenderedPageBreak/>
        <w:t>wzrosła. W</w:t>
      </w:r>
      <w:r>
        <w:rPr>
          <w:rFonts w:ascii="Times New Roman" w:eastAsia="Times New Roman" w:hAnsi="Times New Roman" w:cs="Times New Roman"/>
          <w:sz w:val="24"/>
          <w:szCs w:val="24"/>
          <w:lang w:eastAsia="pl-PL"/>
        </w:rPr>
        <w:t xml:space="preserve"> </w:t>
      </w:r>
      <w:r w:rsidRPr="001F6773">
        <w:rPr>
          <w:rFonts w:ascii="Times New Roman" w:eastAsia="Times New Roman" w:hAnsi="Times New Roman" w:cs="Times New Roman"/>
          <w:sz w:val="24"/>
          <w:szCs w:val="24"/>
          <w:lang w:eastAsia="pl-PL"/>
        </w:rPr>
        <w:t>2009 roku przeprowadzono 151 edycji,</w:t>
      </w:r>
      <w:r>
        <w:rPr>
          <w:rFonts w:ascii="Times New Roman" w:eastAsia="Times New Roman" w:hAnsi="Times New Roman" w:cs="Times New Roman"/>
          <w:sz w:val="24"/>
          <w:szCs w:val="24"/>
          <w:lang w:eastAsia="pl-PL"/>
        </w:rPr>
        <w:t xml:space="preserve"> w 2010 roku 215 edycji, oraz w </w:t>
      </w:r>
      <w:r w:rsidRPr="001F6773">
        <w:rPr>
          <w:rFonts w:ascii="Times New Roman" w:eastAsia="Times New Roman" w:hAnsi="Times New Roman" w:cs="Times New Roman"/>
          <w:sz w:val="24"/>
          <w:szCs w:val="24"/>
          <w:lang w:eastAsia="pl-PL"/>
        </w:rPr>
        <w:t>2011 roku 301 edycji.</w:t>
      </w:r>
    </w:p>
    <w:p w:rsidR="001F6773" w:rsidRDefault="001F6773" w:rsidP="001F6773">
      <w:pPr>
        <w:spacing w:after="0" w:line="360" w:lineRule="auto"/>
        <w:jc w:val="both"/>
        <w:rPr>
          <w:rFonts w:ascii="Times New Roman" w:eastAsia="Times New Roman" w:hAnsi="Times New Roman" w:cs="Times New Roman"/>
          <w:sz w:val="24"/>
          <w:szCs w:val="24"/>
          <w:lang w:eastAsia="pl-PL"/>
        </w:rPr>
      </w:pPr>
      <w:r w:rsidRPr="001F6773">
        <w:rPr>
          <w:rFonts w:ascii="Times New Roman" w:eastAsia="Times New Roman" w:hAnsi="Times New Roman" w:cs="Times New Roman"/>
          <w:sz w:val="24"/>
          <w:szCs w:val="24"/>
          <w:lang w:eastAsia="pl-PL"/>
        </w:rPr>
        <w:tab/>
        <w:t>Oprócz tego dla klientów z obu grup dostępne były zasoby informac</w:t>
      </w:r>
      <w:r w:rsidR="00226DBF">
        <w:rPr>
          <w:rFonts w:ascii="Times New Roman" w:eastAsia="Times New Roman" w:hAnsi="Times New Roman" w:cs="Times New Roman"/>
          <w:sz w:val="24"/>
          <w:szCs w:val="24"/>
          <w:lang w:eastAsia="pl-PL"/>
        </w:rPr>
        <w:t>y</w:t>
      </w:r>
      <w:r w:rsidRPr="001F6773">
        <w:rPr>
          <w:rFonts w:ascii="Times New Roman" w:eastAsia="Times New Roman" w:hAnsi="Times New Roman" w:cs="Times New Roman"/>
          <w:sz w:val="24"/>
          <w:szCs w:val="24"/>
          <w:lang w:eastAsia="pl-PL"/>
        </w:rPr>
        <w:t>j</w:t>
      </w:r>
      <w:r w:rsidR="00226DBF">
        <w:rPr>
          <w:rFonts w:ascii="Times New Roman" w:eastAsia="Times New Roman" w:hAnsi="Times New Roman" w:cs="Times New Roman"/>
          <w:sz w:val="24"/>
          <w:szCs w:val="24"/>
          <w:lang w:eastAsia="pl-PL"/>
        </w:rPr>
        <w:t>n</w:t>
      </w:r>
      <w:r w:rsidRPr="001F6773">
        <w:rPr>
          <w:rFonts w:ascii="Times New Roman" w:eastAsia="Times New Roman" w:hAnsi="Times New Roman" w:cs="Times New Roman"/>
          <w:sz w:val="24"/>
          <w:szCs w:val="24"/>
          <w:lang w:eastAsia="pl-PL"/>
        </w:rPr>
        <w:t xml:space="preserve">e Centrum Informacji i Planowania Kariery Zawodowej </w:t>
      </w:r>
      <w:r w:rsidR="00226DBF">
        <w:rPr>
          <w:rFonts w:ascii="Times New Roman" w:eastAsia="Times New Roman" w:hAnsi="Times New Roman" w:cs="Times New Roman"/>
          <w:sz w:val="24"/>
          <w:szCs w:val="24"/>
          <w:lang w:eastAsia="pl-PL"/>
        </w:rPr>
        <w:t xml:space="preserve">WUP w Poznaniu </w:t>
      </w:r>
      <w:r w:rsidRPr="001F6773">
        <w:rPr>
          <w:rFonts w:ascii="Times New Roman" w:eastAsia="Times New Roman" w:hAnsi="Times New Roman" w:cs="Times New Roman"/>
          <w:sz w:val="24"/>
          <w:szCs w:val="24"/>
          <w:lang w:eastAsia="pl-PL"/>
        </w:rPr>
        <w:t xml:space="preserve">oraz sala informacyjna </w:t>
      </w:r>
      <w:r w:rsidR="00226DBF">
        <w:rPr>
          <w:rFonts w:ascii="Times New Roman" w:eastAsia="Times New Roman" w:hAnsi="Times New Roman" w:cs="Times New Roman"/>
          <w:sz w:val="24"/>
          <w:szCs w:val="24"/>
          <w:lang w:eastAsia="pl-PL"/>
        </w:rPr>
        <w:br/>
      </w:r>
      <w:r w:rsidRPr="001F6773">
        <w:rPr>
          <w:rFonts w:ascii="Times New Roman" w:eastAsia="Times New Roman" w:hAnsi="Times New Roman" w:cs="Times New Roman"/>
          <w:sz w:val="24"/>
          <w:szCs w:val="24"/>
          <w:lang w:eastAsia="pl-PL"/>
        </w:rPr>
        <w:t>z bezpłatnym, stałym dostępem do Internetu.</w:t>
      </w:r>
    </w:p>
    <w:p w:rsidR="00CA344F" w:rsidRDefault="00565FBD" w:rsidP="00565FBD">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W zakresie pośrednictwa pracy, </w:t>
      </w:r>
      <w:r w:rsidRPr="00565FBD">
        <w:rPr>
          <w:rFonts w:ascii="Times New Roman" w:eastAsia="Times New Roman" w:hAnsi="Times New Roman" w:cs="Times New Roman"/>
          <w:sz w:val="24"/>
          <w:szCs w:val="24"/>
          <w:lang w:eastAsia="pl-PL"/>
        </w:rPr>
        <w:t>współpracowa</w:t>
      </w:r>
      <w:r>
        <w:rPr>
          <w:rFonts w:ascii="Times New Roman" w:eastAsia="Times New Roman" w:hAnsi="Times New Roman" w:cs="Times New Roman"/>
          <w:sz w:val="24"/>
          <w:szCs w:val="24"/>
          <w:lang w:eastAsia="pl-PL"/>
        </w:rPr>
        <w:t>no</w:t>
      </w:r>
      <w:r w:rsidRPr="00565FBD">
        <w:rPr>
          <w:rFonts w:ascii="Times New Roman" w:eastAsia="Times New Roman" w:hAnsi="Times New Roman" w:cs="Times New Roman"/>
          <w:sz w:val="24"/>
          <w:szCs w:val="24"/>
          <w:lang w:eastAsia="pl-PL"/>
        </w:rPr>
        <w:t xml:space="preserve"> z partnerami rynku pracy na rzecz łagodzenia skutków bezrobocia</w:t>
      </w:r>
      <w:r>
        <w:rPr>
          <w:rFonts w:ascii="Times New Roman" w:eastAsia="Times New Roman" w:hAnsi="Times New Roman" w:cs="Times New Roman"/>
          <w:sz w:val="24"/>
          <w:szCs w:val="24"/>
          <w:lang w:eastAsia="pl-PL"/>
        </w:rPr>
        <w:t xml:space="preserve"> </w:t>
      </w:r>
      <w:r w:rsidRPr="00565FBD">
        <w:rPr>
          <w:rFonts w:ascii="Times New Roman" w:eastAsia="Times New Roman" w:hAnsi="Times New Roman" w:cs="Times New Roman"/>
          <w:sz w:val="24"/>
          <w:szCs w:val="24"/>
          <w:lang w:eastAsia="pl-PL"/>
        </w:rPr>
        <w:t>na terenie województwa</w:t>
      </w:r>
      <w:r>
        <w:rPr>
          <w:rFonts w:ascii="Times New Roman" w:eastAsia="Times New Roman" w:hAnsi="Times New Roman" w:cs="Times New Roman"/>
          <w:sz w:val="24"/>
          <w:szCs w:val="24"/>
          <w:lang w:eastAsia="pl-PL"/>
        </w:rPr>
        <w:t>,</w:t>
      </w:r>
      <w:r w:rsidRPr="00565FBD">
        <w:rPr>
          <w:rFonts w:ascii="Times New Roman" w:eastAsia="Times New Roman" w:hAnsi="Times New Roman" w:cs="Times New Roman"/>
          <w:sz w:val="24"/>
          <w:szCs w:val="24"/>
          <w:lang w:eastAsia="pl-PL"/>
        </w:rPr>
        <w:t xml:space="preserve"> poprzez współuczestnictwo </w:t>
      </w:r>
      <w:r w:rsidR="002A5DC6">
        <w:rPr>
          <w:rFonts w:ascii="Times New Roman" w:eastAsia="Times New Roman" w:hAnsi="Times New Roman" w:cs="Times New Roman"/>
          <w:sz w:val="24"/>
          <w:szCs w:val="24"/>
          <w:lang w:eastAsia="pl-PL"/>
        </w:rPr>
        <w:br/>
      </w:r>
      <w:r w:rsidRPr="00565FBD">
        <w:rPr>
          <w:rFonts w:ascii="Times New Roman" w:eastAsia="Times New Roman" w:hAnsi="Times New Roman" w:cs="Times New Roman"/>
          <w:sz w:val="24"/>
          <w:szCs w:val="24"/>
          <w:lang w:eastAsia="pl-PL"/>
        </w:rPr>
        <w:t>w lokalnych giełdach i targach pracy</w:t>
      </w:r>
      <w:r>
        <w:rPr>
          <w:rFonts w:ascii="Times New Roman" w:eastAsia="Times New Roman" w:hAnsi="Times New Roman" w:cs="Times New Roman"/>
          <w:sz w:val="24"/>
          <w:szCs w:val="24"/>
          <w:lang w:eastAsia="pl-PL"/>
        </w:rPr>
        <w:t>. Ponadto, realizowano</w:t>
      </w:r>
      <w:r w:rsidRPr="00565FBD">
        <w:rPr>
          <w:rFonts w:ascii="Times New Roman" w:eastAsia="Times New Roman" w:hAnsi="Times New Roman" w:cs="Times New Roman"/>
          <w:sz w:val="24"/>
          <w:szCs w:val="24"/>
          <w:lang w:eastAsia="pl-PL"/>
        </w:rPr>
        <w:t xml:space="preserve"> zadania związane </w:t>
      </w:r>
      <w:r w:rsidR="002A5DC6">
        <w:rPr>
          <w:rFonts w:ascii="Times New Roman" w:eastAsia="Times New Roman" w:hAnsi="Times New Roman" w:cs="Times New Roman"/>
          <w:sz w:val="24"/>
          <w:szCs w:val="24"/>
          <w:lang w:eastAsia="pl-PL"/>
        </w:rPr>
        <w:br/>
      </w:r>
      <w:r w:rsidRPr="00565FBD">
        <w:rPr>
          <w:rFonts w:ascii="Times New Roman" w:eastAsia="Times New Roman" w:hAnsi="Times New Roman" w:cs="Times New Roman"/>
          <w:sz w:val="24"/>
          <w:szCs w:val="24"/>
          <w:lang w:eastAsia="pl-PL"/>
        </w:rPr>
        <w:t>z uczestnictwem w międzynarodowej sieci EURES m.in. poprzez aktualizację informacji na temat „Warunków życia i pracy w krajach EOG” na krajową stronę internetową EURES - zgodnie z podziałem dokonanym przez Krajowego Koordynatora EURES, pomoc zainteresowanym w uzyskiwaniu informacji na temat warunków życia i pracy w krajach EOG, współpracę z pracodawcami z Polski i z zagranicy w zakresie korzystania z sieci EURES przy poszukiwaniu kandydatów do pracy, realizację ofert pracy poprzez organizację procesu rekrutacji</w:t>
      </w:r>
      <w:r>
        <w:rPr>
          <w:rFonts w:ascii="Times New Roman" w:eastAsia="Times New Roman" w:hAnsi="Times New Roman" w:cs="Times New Roman"/>
          <w:sz w:val="24"/>
          <w:szCs w:val="24"/>
          <w:lang w:eastAsia="pl-PL"/>
        </w:rPr>
        <w:t>.</w:t>
      </w:r>
      <w:r w:rsidRPr="00565FB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w:t>
      </w:r>
      <w:r w:rsidRPr="00565FBD">
        <w:rPr>
          <w:rFonts w:ascii="Times New Roman" w:eastAsia="Times New Roman" w:hAnsi="Times New Roman" w:cs="Times New Roman"/>
          <w:sz w:val="24"/>
          <w:szCs w:val="24"/>
          <w:lang w:eastAsia="pl-PL"/>
        </w:rPr>
        <w:t>organizowano m.in. rekrutacje osób w branży hotelarsko – gastronomicznej, na które aplikowały w większości przypadków osoby poniżej 30 r</w:t>
      </w:r>
      <w:r w:rsidR="002A5DC6">
        <w:rPr>
          <w:rFonts w:ascii="Times New Roman" w:eastAsia="Times New Roman" w:hAnsi="Times New Roman" w:cs="Times New Roman"/>
          <w:sz w:val="24"/>
          <w:szCs w:val="24"/>
          <w:lang w:eastAsia="pl-PL"/>
        </w:rPr>
        <w:t>oku</w:t>
      </w:r>
      <w:r w:rsidRPr="00565FBD">
        <w:rPr>
          <w:rFonts w:ascii="Times New Roman" w:eastAsia="Times New Roman" w:hAnsi="Times New Roman" w:cs="Times New Roman"/>
          <w:sz w:val="24"/>
          <w:szCs w:val="24"/>
          <w:lang w:eastAsia="pl-PL"/>
        </w:rPr>
        <w:t xml:space="preserve"> ż</w:t>
      </w:r>
      <w:r w:rsidR="002A5DC6">
        <w:rPr>
          <w:rFonts w:ascii="Times New Roman" w:eastAsia="Times New Roman" w:hAnsi="Times New Roman" w:cs="Times New Roman"/>
          <w:sz w:val="24"/>
          <w:szCs w:val="24"/>
          <w:lang w:eastAsia="pl-PL"/>
        </w:rPr>
        <w:t>ycia</w:t>
      </w:r>
      <w:r w:rsidRPr="00565FBD">
        <w:rPr>
          <w:rFonts w:ascii="Times New Roman" w:eastAsia="Times New Roman" w:hAnsi="Times New Roman" w:cs="Times New Roman"/>
          <w:sz w:val="24"/>
          <w:szCs w:val="24"/>
          <w:lang w:eastAsia="pl-PL"/>
        </w:rPr>
        <w:t xml:space="preserve"> oraz pośredniczono w przekazywaniu dokumentów osób pomiędzy 18 a 35 r</w:t>
      </w:r>
      <w:r w:rsidR="002A5DC6">
        <w:rPr>
          <w:rFonts w:ascii="Times New Roman" w:eastAsia="Times New Roman" w:hAnsi="Times New Roman" w:cs="Times New Roman"/>
          <w:sz w:val="24"/>
          <w:szCs w:val="24"/>
          <w:lang w:eastAsia="pl-PL"/>
        </w:rPr>
        <w:t xml:space="preserve">okiem </w:t>
      </w:r>
      <w:r w:rsidRPr="00565FBD">
        <w:rPr>
          <w:rFonts w:ascii="Times New Roman" w:eastAsia="Times New Roman" w:hAnsi="Times New Roman" w:cs="Times New Roman"/>
          <w:sz w:val="24"/>
          <w:szCs w:val="24"/>
          <w:lang w:eastAsia="pl-PL"/>
        </w:rPr>
        <w:t>ż</w:t>
      </w:r>
      <w:r w:rsidR="002A5DC6">
        <w:rPr>
          <w:rFonts w:ascii="Times New Roman" w:eastAsia="Times New Roman" w:hAnsi="Times New Roman" w:cs="Times New Roman"/>
          <w:sz w:val="24"/>
          <w:szCs w:val="24"/>
          <w:lang w:eastAsia="pl-PL"/>
        </w:rPr>
        <w:t>ycia</w:t>
      </w:r>
      <w:r w:rsidRPr="00565FBD">
        <w:rPr>
          <w:rFonts w:ascii="Times New Roman" w:eastAsia="Times New Roman" w:hAnsi="Times New Roman" w:cs="Times New Roman"/>
          <w:sz w:val="24"/>
          <w:szCs w:val="24"/>
          <w:lang w:eastAsia="pl-PL"/>
        </w:rPr>
        <w:t xml:space="preserve"> zainteresowanych podjęciem zatrudnienia w okresie letnich wakacji na terenie Niemiec</w:t>
      </w:r>
      <w:r>
        <w:rPr>
          <w:rFonts w:ascii="Times New Roman" w:eastAsia="Times New Roman" w:hAnsi="Times New Roman" w:cs="Times New Roman"/>
          <w:sz w:val="24"/>
          <w:szCs w:val="24"/>
          <w:lang w:eastAsia="pl-PL"/>
        </w:rPr>
        <w:t xml:space="preserve">. </w:t>
      </w:r>
    </w:p>
    <w:p w:rsidR="002F1502" w:rsidRPr="002F1502" w:rsidRDefault="00034958" w:rsidP="002F1502">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ramach Programu Operacyjnego Kapitał Ludzki prowadzony jest p</w:t>
      </w:r>
      <w:r w:rsidR="002F1502" w:rsidRPr="002F1502">
        <w:rPr>
          <w:rFonts w:ascii="Times New Roman" w:eastAsia="Times New Roman" w:hAnsi="Times New Roman" w:cs="Times New Roman"/>
          <w:sz w:val="24"/>
          <w:szCs w:val="24"/>
          <w:lang w:eastAsia="pl-PL"/>
        </w:rPr>
        <w:t xml:space="preserve">rojekt </w:t>
      </w:r>
      <w:r>
        <w:rPr>
          <w:rFonts w:ascii="Times New Roman" w:eastAsia="Times New Roman" w:hAnsi="Times New Roman" w:cs="Times New Roman"/>
          <w:sz w:val="24"/>
          <w:szCs w:val="24"/>
          <w:lang w:eastAsia="pl-PL"/>
        </w:rPr>
        <w:br/>
      </w:r>
      <w:r w:rsidR="002F1502" w:rsidRPr="002F1502">
        <w:rPr>
          <w:rFonts w:ascii="Times New Roman" w:eastAsia="Times New Roman" w:hAnsi="Times New Roman" w:cs="Times New Roman"/>
          <w:sz w:val="24"/>
          <w:szCs w:val="24"/>
          <w:lang w:eastAsia="pl-PL"/>
        </w:rPr>
        <w:t>pt. „Wielkopolski program stypendialny dla uczniów szczególnie uzdolnionych”</w:t>
      </w:r>
      <w:r w:rsidR="002F1502">
        <w:rPr>
          <w:rFonts w:ascii="Times New Roman" w:eastAsia="Times New Roman" w:hAnsi="Times New Roman" w:cs="Times New Roman"/>
          <w:sz w:val="24"/>
          <w:szCs w:val="24"/>
          <w:lang w:eastAsia="pl-PL"/>
        </w:rPr>
        <w:t>,</w:t>
      </w:r>
      <w:r w:rsidR="002F1502" w:rsidRPr="002F1502">
        <w:rPr>
          <w:rFonts w:ascii="Times New Roman" w:eastAsia="Times New Roman" w:hAnsi="Times New Roman" w:cs="Times New Roman"/>
          <w:sz w:val="24"/>
          <w:szCs w:val="24"/>
          <w:lang w:eastAsia="pl-PL"/>
        </w:rPr>
        <w:t xml:space="preserve"> </w:t>
      </w:r>
      <w:r w:rsidR="002F1502">
        <w:rPr>
          <w:rFonts w:ascii="Times New Roman" w:eastAsia="Times New Roman" w:hAnsi="Times New Roman" w:cs="Times New Roman"/>
          <w:sz w:val="24"/>
          <w:szCs w:val="24"/>
          <w:lang w:eastAsia="pl-PL"/>
        </w:rPr>
        <w:t>realizowany</w:t>
      </w:r>
      <w:r w:rsidR="002F1502" w:rsidRPr="002F1502">
        <w:rPr>
          <w:rFonts w:ascii="Times New Roman" w:eastAsia="Times New Roman" w:hAnsi="Times New Roman" w:cs="Times New Roman"/>
          <w:sz w:val="24"/>
          <w:szCs w:val="24"/>
          <w:lang w:eastAsia="pl-PL"/>
        </w:rPr>
        <w:t xml:space="preserve"> w ramach Poddziałania 9.1.3 PO KL</w:t>
      </w:r>
      <w:r w:rsidR="002F1502">
        <w:rPr>
          <w:rFonts w:ascii="Times New Roman" w:eastAsia="Times New Roman" w:hAnsi="Times New Roman" w:cs="Times New Roman"/>
          <w:sz w:val="24"/>
          <w:szCs w:val="24"/>
          <w:lang w:eastAsia="pl-PL"/>
        </w:rPr>
        <w:t>,</w:t>
      </w:r>
      <w:r w:rsidR="002F1502" w:rsidRPr="002F150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który stwarza</w:t>
      </w:r>
      <w:r w:rsidR="002F1502" w:rsidRPr="002F1502">
        <w:rPr>
          <w:rFonts w:ascii="Times New Roman" w:eastAsia="Times New Roman" w:hAnsi="Times New Roman" w:cs="Times New Roman"/>
          <w:sz w:val="24"/>
          <w:szCs w:val="24"/>
          <w:lang w:eastAsia="pl-PL"/>
        </w:rPr>
        <w:t xml:space="preserve"> warunk</w:t>
      </w:r>
      <w:r>
        <w:rPr>
          <w:rFonts w:ascii="Times New Roman" w:eastAsia="Times New Roman" w:hAnsi="Times New Roman" w:cs="Times New Roman"/>
          <w:sz w:val="24"/>
          <w:szCs w:val="24"/>
          <w:lang w:eastAsia="pl-PL"/>
        </w:rPr>
        <w:t>i</w:t>
      </w:r>
      <w:r w:rsidR="002F1502" w:rsidRPr="002F1502">
        <w:rPr>
          <w:rFonts w:ascii="Times New Roman" w:eastAsia="Times New Roman" w:hAnsi="Times New Roman" w:cs="Times New Roman"/>
          <w:sz w:val="24"/>
          <w:szCs w:val="24"/>
          <w:lang w:eastAsia="pl-PL"/>
        </w:rPr>
        <w:t xml:space="preserve"> równych szans edukacyjnych, poprzez udzielenie wsparcia uczniom szczególnie uzdolnionym</w:t>
      </w:r>
      <w:r w:rsidR="002F1502">
        <w:rPr>
          <w:rFonts w:ascii="Times New Roman" w:eastAsia="Times New Roman" w:hAnsi="Times New Roman" w:cs="Times New Roman"/>
          <w:sz w:val="24"/>
          <w:szCs w:val="24"/>
          <w:lang w:eastAsia="pl-PL"/>
        </w:rPr>
        <w:t>, dla których</w:t>
      </w:r>
      <w:r w:rsidR="002F1502" w:rsidRPr="002F1502">
        <w:rPr>
          <w:rFonts w:ascii="Times New Roman" w:eastAsia="Times New Roman" w:hAnsi="Times New Roman" w:cs="Times New Roman"/>
          <w:sz w:val="24"/>
          <w:szCs w:val="24"/>
          <w:lang w:eastAsia="pl-PL"/>
        </w:rPr>
        <w:t xml:space="preserve"> niekorzystn</w:t>
      </w:r>
      <w:r w:rsidR="002F1502">
        <w:rPr>
          <w:rFonts w:ascii="Times New Roman" w:eastAsia="Times New Roman" w:hAnsi="Times New Roman" w:cs="Times New Roman"/>
          <w:sz w:val="24"/>
          <w:szCs w:val="24"/>
          <w:lang w:eastAsia="pl-PL"/>
        </w:rPr>
        <w:t>a sytuacja materialna</w:t>
      </w:r>
      <w:r w:rsidR="002F1502" w:rsidRPr="002F1502">
        <w:rPr>
          <w:rFonts w:ascii="Times New Roman" w:eastAsia="Times New Roman" w:hAnsi="Times New Roman" w:cs="Times New Roman"/>
          <w:sz w:val="24"/>
          <w:szCs w:val="24"/>
          <w:lang w:eastAsia="pl-PL"/>
        </w:rPr>
        <w:t xml:space="preserve">, stanowi barierę w rozwoju </w:t>
      </w:r>
      <w:r w:rsidR="002F1502">
        <w:rPr>
          <w:rFonts w:ascii="Times New Roman" w:eastAsia="Times New Roman" w:hAnsi="Times New Roman" w:cs="Times New Roman"/>
          <w:sz w:val="24"/>
          <w:szCs w:val="24"/>
          <w:lang w:eastAsia="pl-PL"/>
        </w:rPr>
        <w:t>edukacyjnym</w:t>
      </w:r>
      <w:r>
        <w:rPr>
          <w:rFonts w:ascii="Times New Roman" w:eastAsia="Times New Roman" w:hAnsi="Times New Roman" w:cs="Times New Roman"/>
          <w:sz w:val="24"/>
          <w:szCs w:val="24"/>
          <w:lang w:eastAsia="pl-PL"/>
        </w:rPr>
        <w:t>.</w:t>
      </w:r>
      <w:r w:rsidR="002F150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Działania w ramach projektu</w:t>
      </w:r>
      <w:r w:rsidR="002F150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przyczynią się do zwiększenia</w:t>
      </w:r>
      <w:r w:rsidR="002F1502">
        <w:rPr>
          <w:rFonts w:ascii="Times New Roman" w:eastAsia="Times New Roman" w:hAnsi="Times New Roman" w:cs="Times New Roman"/>
          <w:sz w:val="24"/>
          <w:szCs w:val="24"/>
          <w:lang w:eastAsia="pl-PL"/>
        </w:rPr>
        <w:t xml:space="preserve"> </w:t>
      </w:r>
      <w:r w:rsidR="00AE3692">
        <w:rPr>
          <w:rFonts w:ascii="Times New Roman" w:eastAsia="Times New Roman" w:hAnsi="Times New Roman" w:cs="Times New Roman"/>
          <w:sz w:val="24"/>
          <w:szCs w:val="24"/>
          <w:lang w:eastAsia="pl-PL"/>
        </w:rPr>
        <w:t xml:space="preserve">w przyszłości </w:t>
      </w:r>
      <w:r w:rsidR="002F1502">
        <w:rPr>
          <w:rFonts w:ascii="Times New Roman" w:eastAsia="Times New Roman" w:hAnsi="Times New Roman" w:cs="Times New Roman"/>
          <w:sz w:val="24"/>
          <w:szCs w:val="24"/>
          <w:lang w:eastAsia="pl-PL"/>
        </w:rPr>
        <w:t>szans</w:t>
      </w:r>
      <w:r>
        <w:rPr>
          <w:rFonts w:ascii="Times New Roman" w:eastAsia="Times New Roman" w:hAnsi="Times New Roman" w:cs="Times New Roman"/>
          <w:sz w:val="24"/>
          <w:szCs w:val="24"/>
          <w:lang w:eastAsia="pl-PL"/>
        </w:rPr>
        <w:t xml:space="preserve"> tych młodych osób</w:t>
      </w:r>
      <w:r w:rsidR="002F1502">
        <w:rPr>
          <w:rFonts w:ascii="Times New Roman" w:eastAsia="Times New Roman" w:hAnsi="Times New Roman" w:cs="Times New Roman"/>
          <w:sz w:val="24"/>
          <w:szCs w:val="24"/>
          <w:lang w:eastAsia="pl-PL"/>
        </w:rPr>
        <w:t xml:space="preserve"> na rynku pracy. </w:t>
      </w:r>
    </w:p>
    <w:p w:rsidR="002F1502" w:rsidRPr="002F1502" w:rsidRDefault="00E72250" w:rsidP="00E72250">
      <w:pPr>
        <w:spacing w:after="0" w:line="360" w:lineRule="auto"/>
        <w:ind w:firstLine="567"/>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Realizowany w ramach </w:t>
      </w:r>
      <w:r>
        <w:rPr>
          <w:rFonts w:ascii="Times New Roman" w:eastAsia="Times New Roman" w:hAnsi="Times New Roman" w:cs="Times New Roman"/>
          <w:sz w:val="24"/>
          <w:szCs w:val="24"/>
          <w:lang w:eastAsia="pl-PL"/>
        </w:rPr>
        <w:t xml:space="preserve">Poddziałania 8.2.2 PO KL </w:t>
      </w:r>
      <w:r w:rsidR="002F1502" w:rsidRPr="002F1502">
        <w:rPr>
          <w:rFonts w:ascii="Times New Roman" w:eastAsia="Times New Roman" w:hAnsi="Times New Roman" w:cs="Times New Roman"/>
          <w:sz w:val="24"/>
          <w:szCs w:val="24"/>
          <w:lang w:eastAsia="pl-PL"/>
        </w:rPr>
        <w:t>projekt pt. „Wsparcie stypendialne dla doktorantów na kierunkach uznanych za strategiczne z punktu widzenia rozwoju Wielkopolski”</w:t>
      </w:r>
      <w:r>
        <w:rPr>
          <w:rFonts w:ascii="Times New Roman" w:eastAsia="Times New Roman" w:hAnsi="Times New Roman" w:cs="Times New Roman"/>
          <w:sz w:val="24"/>
          <w:szCs w:val="24"/>
          <w:lang w:eastAsia="pl-PL"/>
        </w:rPr>
        <w:t xml:space="preserve">, ma natomiast na celu </w:t>
      </w:r>
      <w:r w:rsidR="002F1502" w:rsidRPr="002F1502">
        <w:rPr>
          <w:rFonts w:ascii="Times New Roman" w:eastAsia="Times New Roman" w:hAnsi="Times New Roman" w:cs="Times New Roman"/>
          <w:sz w:val="24"/>
          <w:szCs w:val="24"/>
          <w:lang w:eastAsia="pl-PL"/>
        </w:rPr>
        <w:t>wsparcie finansowe doktorantów kształcących się na kierunkach uznanych za szczególnie ist</w:t>
      </w:r>
      <w:r w:rsidR="00F16D99">
        <w:rPr>
          <w:rFonts w:ascii="Times New Roman" w:eastAsia="Times New Roman" w:hAnsi="Times New Roman" w:cs="Times New Roman"/>
          <w:sz w:val="24"/>
          <w:szCs w:val="24"/>
          <w:lang w:eastAsia="pl-PL"/>
        </w:rPr>
        <w:t xml:space="preserve">otne z punktu widzenia rozwoju </w:t>
      </w:r>
      <w:r w:rsidR="00877AF8">
        <w:rPr>
          <w:rFonts w:ascii="Times New Roman" w:eastAsia="Times New Roman" w:hAnsi="Times New Roman" w:cs="Times New Roman"/>
          <w:sz w:val="24"/>
          <w:szCs w:val="24"/>
          <w:lang w:eastAsia="pl-PL"/>
        </w:rPr>
        <w:t>w</w:t>
      </w:r>
      <w:r w:rsidR="002F1502" w:rsidRPr="002F1502">
        <w:rPr>
          <w:rFonts w:ascii="Times New Roman" w:eastAsia="Times New Roman" w:hAnsi="Times New Roman" w:cs="Times New Roman"/>
          <w:sz w:val="24"/>
          <w:szCs w:val="24"/>
          <w:lang w:eastAsia="pl-PL"/>
        </w:rPr>
        <w:t xml:space="preserve">ojewództwa </w:t>
      </w:r>
      <w:r w:rsidR="00877AF8">
        <w:rPr>
          <w:rFonts w:ascii="Times New Roman" w:eastAsia="Times New Roman" w:hAnsi="Times New Roman" w:cs="Times New Roman"/>
          <w:sz w:val="24"/>
          <w:szCs w:val="24"/>
          <w:lang w:eastAsia="pl-PL"/>
        </w:rPr>
        <w:t>w</w:t>
      </w:r>
      <w:r w:rsidR="002F1502" w:rsidRPr="002F1502">
        <w:rPr>
          <w:rFonts w:ascii="Times New Roman" w:eastAsia="Times New Roman" w:hAnsi="Times New Roman" w:cs="Times New Roman"/>
          <w:sz w:val="24"/>
          <w:szCs w:val="24"/>
          <w:lang w:eastAsia="pl-PL"/>
        </w:rPr>
        <w:t>ielkopolskiego. </w:t>
      </w:r>
      <w:r w:rsidR="00671668">
        <w:rPr>
          <w:rFonts w:ascii="Times New Roman" w:eastAsia="Times New Roman" w:hAnsi="Times New Roman" w:cs="Times New Roman"/>
          <w:sz w:val="24"/>
          <w:szCs w:val="24"/>
          <w:lang w:eastAsia="pl-PL"/>
        </w:rPr>
        <w:t>Wyniki badań prowadzonych przez stypendystów programu, przyczynią się do wzmocnienia współpracy między sektorem badawczo – rozwojowych a sektorem przedsiębiorstw, co jest szczególnie istotne w rozwoju</w:t>
      </w:r>
      <w:r w:rsidR="00610D86">
        <w:rPr>
          <w:rFonts w:ascii="Times New Roman" w:eastAsia="Times New Roman" w:hAnsi="Times New Roman" w:cs="Times New Roman"/>
          <w:sz w:val="24"/>
          <w:szCs w:val="24"/>
          <w:lang w:eastAsia="pl-PL"/>
        </w:rPr>
        <w:t xml:space="preserve"> innowacyjnej gospodarki,</w:t>
      </w:r>
      <w:r w:rsidR="00671668">
        <w:rPr>
          <w:rFonts w:ascii="Times New Roman" w:eastAsia="Times New Roman" w:hAnsi="Times New Roman" w:cs="Times New Roman"/>
          <w:sz w:val="24"/>
          <w:szCs w:val="24"/>
          <w:lang w:eastAsia="pl-PL"/>
        </w:rPr>
        <w:t xml:space="preserve"> rynku pracy</w:t>
      </w:r>
      <w:r w:rsidR="00610D86">
        <w:rPr>
          <w:rFonts w:ascii="Times New Roman" w:eastAsia="Times New Roman" w:hAnsi="Times New Roman" w:cs="Times New Roman"/>
          <w:sz w:val="24"/>
          <w:szCs w:val="24"/>
          <w:lang w:eastAsia="pl-PL"/>
        </w:rPr>
        <w:t xml:space="preserve"> i zwiększenia zatrudnienia w sektorach kluczowych dla gospodarki</w:t>
      </w:r>
      <w:r w:rsidR="00671668">
        <w:rPr>
          <w:rFonts w:ascii="Times New Roman" w:eastAsia="Times New Roman" w:hAnsi="Times New Roman" w:cs="Times New Roman"/>
          <w:sz w:val="24"/>
          <w:szCs w:val="24"/>
          <w:lang w:eastAsia="pl-PL"/>
        </w:rPr>
        <w:t>.</w:t>
      </w:r>
    </w:p>
    <w:p w:rsidR="009753C4" w:rsidRDefault="009753C4" w:rsidP="00DF09E9">
      <w:pPr>
        <w:spacing w:after="0" w:line="360" w:lineRule="auto"/>
        <w:rPr>
          <w:rFonts w:asciiTheme="majorHAnsi" w:eastAsiaTheme="majorEastAsia" w:hAnsiTheme="majorHAnsi" w:cstheme="majorBidi"/>
          <w:b/>
          <w:bCs/>
          <w:color w:val="1F497D" w:themeColor="text2"/>
          <w:sz w:val="32"/>
          <w:szCs w:val="32"/>
        </w:rPr>
      </w:pPr>
      <w:r>
        <w:rPr>
          <w:color w:val="1F497D" w:themeColor="text2"/>
          <w:sz w:val="32"/>
          <w:szCs w:val="32"/>
        </w:rPr>
        <w:br w:type="page"/>
      </w:r>
    </w:p>
    <w:p w:rsidR="009B34F2" w:rsidRPr="009B34F2" w:rsidRDefault="00067237" w:rsidP="00730B52">
      <w:pPr>
        <w:pStyle w:val="Nagwek1"/>
        <w:numPr>
          <w:ilvl w:val="0"/>
          <w:numId w:val="5"/>
        </w:numPr>
        <w:spacing w:before="0" w:line="360" w:lineRule="auto"/>
        <w:ind w:left="567" w:hanging="567"/>
      </w:pPr>
      <w:bookmarkStart w:id="19" w:name="_Toc333477268"/>
      <w:r>
        <w:lastRenderedPageBreak/>
        <w:t>Zakończenie</w:t>
      </w:r>
      <w:bookmarkEnd w:id="19"/>
    </w:p>
    <w:p w:rsidR="009B34F2" w:rsidRDefault="009B34F2" w:rsidP="00DF09E9">
      <w:pPr>
        <w:spacing w:after="0" w:line="360" w:lineRule="auto"/>
      </w:pPr>
    </w:p>
    <w:p w:rsidR="00350DEA" w:rsidRDefault="00701DB3" w:rsidP="00A40CC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Przedstawiona analiza ukazuje sytuację osób bezrobotnych poniżej 30 roku życia oraz powyżej 45 roku życia na rynku pracy w ujęciu trzyletnim (lata 2009-2011). Są to grupy bezrobotnych, które niezmiennie znajdują się w trudnej sytuacji na rynku pracy. Młodzi bezrobotni, to przede wszystkim absolwenci, wkraczający na rynek pracy, nie posiadający doświadczenia zawodowego. </w:t>
      </w:r>
      <w:r w:rsidR="00350DEA">
        <w:rPr>
          <w:rFonts w:ascii="Times New Roman" w:hAnsi="Times New Roman" w:cs="Times New Roman"/>
          <w:sz w:val="24"/>
          <w:szCs w:val="24"/>
        </w:rPr>
        <w:t xml:space="preserve">Pracodawcy niechętnie zatrudniają osoby nie posiadające </w:t>
      </w:r>
      <w:r w:rsidR="00270C4D">
        <w:rPr>
          <w:rFonts w:ascii="Times New Roman" w:hAnsi="Times New Roman" w:cs="Times New Roman"/>
          <w:sz w:val="24"/>
          <w:szCs w:val="24"/>
        </w:rPr>
        <w:t xml:space="preserve">wymaganego </w:t>
      </w:r>
      <w:r w:rsidR="00350DEA">
        <w:rPr>
          <w:rFonts w:ascii="Times New Roman" w:hAnsi="Times New Roman" w:cs="Times New Roman"/>
          <w:sz w:val="24"/>
          <w:szCs w:val="24"/>
        </w:rPr>
        <w:t>doświadczenia zawodowego</w:t>
      </w:r>
      <w:r w:rsidR="00270C4D">
        <w:rPr>
          <w:rFonts w:ascii="Times New Roman" w:hAnsi="Times New Roman" w:cs="Times New Roman"/>
          <w:sz w:val="24"/>
          <w:szCs w:val="24"/>
        </w:rPr>
        <w:t xml:space="preserve"> i praktycznych umiejętności</w:t>
      </w:r>
      <w:r w:rsidR="00350DEA">
        <w:rPr>
          <w:rFonts w:ascii="Times New Roman" w:hAnsi="Times New Roman" w:cs="Times New Roman"/>
          <w:sz w:val="24"/>
          <w:szCs w:val="24"/>
        </w:rPr>
        <w:t xml:space="preserve">, </w:t>
      </w:r>
      <w:r w:rsidR="00AE3692">
        <w:rPr>
          <w:rFonts w:ascii="Times New Roman" w:hAnsi="Times New Roman" w:cs="Times New Roman"/>
          <w:sz w:val="24"/>
          <w:szCs w:val="24"/>
        </w:rPr>
        <w:t>gdyż</w:t>
      </w:r>
      <w:r w:rsidR="00350DEA">
        <w:rPr>
          <w:rFonts w:ascii="Times New Roman" w:hAnsi="Times New Roman" w:cs="Times New Roman"/>
          <w:sz w:val="24"/>
          <w:szCs w:val="24"/>
        </w:rPr>
        <w:t xml:space="preserve"> należy przyuczyć </w:t>
      </w:r>
      <w:r w:rsidR="00AE3692">
        <w:rPr>
          <w:rFonts w:ascii="Times New Roman" w:hAnsi="Times New Roman" w:cs="Times New Roman"/>
          <w:sz w:val="24"/>
          <w:szCs w:val="24"/>
        </w:rPr>
        <w:t xml:space="preserve">je </w:t>
      </w:r>
      <w:r w:rsidR="00350DEA">
        <w:rPr>
          <w:rFonts w:ascii="Times New Roman" w:hAnsi="Times New Roman" w:cs="Times New Roman"/>
          <w:sz w:val="24"/>
          <w:szCs w:val="24"/>
        </w:rPr>
        <w:t xml:space="preserve">do wykonywanej pracy, co wiąże się z dodatkowymi kosztami. Jednocześnie </w:t>
      </w:r>
      <w:r w:rsidR="00270C4D">
        <w:rPr>
          <w:rFonts w:ascii="Times New Roman" w:hAnsi="Times New Roman" w:cs="Times New Roman"/>
          <w:sz w:val="24"/>
          <w:szCs w:val="24"/>
        </w:rPr>
        <w:br/>
      </w:r>
      <w:r w:rsidR="00350DEA">
        <w:rPr>
          <w:rFonts w:ascii="Times New Roman" w:hAnsi="Times New Roman" w:cs="Times New Roman"/>
          <w:sz w:val="24"/>
          <w:szCs w:val="24"/>
        </w:rPr>
        <w:t>w wielkopolskich szkołach dominuje kształcenie na kierunkach nieodpowiadających zapotrzebowaniu pracodawcó</w:t>
      </w:r>
      <w:r w:rsidR="00270C4D">
        <w:rPr>
          <w:rFonts w:ascii="Times New Roman" w:hAnsi="Times New Roman" w:cs="Times New Roman"/>
          <w:sz w:val="24"/>
          <w:szCs w:val="24"/>
        </w:rPr>
        <w:t xml:space="preserve">w i wymogom dynamicznie zmieniającego się rynku pracy </w:t>
      </w:r>
      <w:r w:rsidR="00270C4D">
        <w:rPr>
          <w:rFonts w:ascii="Times New Roman" w:hAnsi="Times New Roman" w:cs="Times New Roman"/>
          <w:sz w:val="24"/>
          <w:szCs w:val="24"/>
        </w:rPr>
        <w:br/>
        <w:t>i nowoczesnej gospodarki.</w:t>
      </w:r>
    </w:p>
    <w:p w:rsidR="00701DB3" w:rsidRPr="00BE2C17" w:rsidRDefault="00701DB3" w:rsidP="00A40CC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kolei osoby bezrobotne po 45/50 roku życia, mają problem z powrotem do aktywności zawodowej, między innymi ze względu na dezaktualizację ich kwalifikacji </w:t>
      </w:r>
      <w:r w:rsidR="00D822D2">
        <w:rPr>
          <w:rFonts w:ascii="Times New Roman" w:hAnsi="Times New Roman" w:cs="Times New Roman"/>
          <w:sz w:val="24"/>
          <w:szCs w:val="24"/>
        </w:rPr>
        <w:br/>
      </w:r>
      <w:r>
        <w:rPr>
          <w:rFonts w:ascii="Times New Roman" w:hAnsi="Times New Roman" w:cs="Times New Roman"/>
          <w:sz w:val="24"/>
          <w:szCs w:val="24"/>
        </w:rPr>
        <w:t>i umiejętności przydatnych na szybko zmieniającym się rynku pracy.</w:t>
      </w:r>
      <w:r w:rsidR="008104C4">
        <w:rPr>
          <w:rFonts w:ascii="Times New Roman" w:hAnsi="Times New Roman" w:cs="Times New Roman"/>
          <w:sz w:val="24"/>
          <w:szCs w:val="24"/>
        </w:rPr>
        <w:t xml:space="preserve"> Osoby te niechętnie doszkalają się w ramach kształcenia ustawicznego, jak też często mają trudności </w:t>
      </w:r>
      <w:r w:rsidR="008104C4">
        <w:rPr>
          <w:rFonts w:ascii="Times New Roman" w:hAnsi="Times New Roman" w:cs="Times New Roman"/>
          <w:sz w:val="24"/>
          <w:szCs w:val="24"/>
        </w:rPr>
        <w:br/>
        <w:t>z przekwalifikowaniem się i</w:t>
      </w:r>
      <w:r w:rsidR="005E18F5">
        <w:rPr>
          <w:rFonts w:ascii="Times New Roman" w:hAnsi="Times New Roman" w:cs="Times New Roman"/>
          <w:sz w:val="24"/>
          <w:szCs w:val="24"/>
        </w:rPr>
        <w:t xml:space="preserve"> dopasowaniem do nowej sytuacji, np. w przypadku utraty pracy.</w:t>
      </w:r>
    </w:p>
    <w:p w:rsidR="00701DB3" w:rsidRDefault="00701DB3" w:rsidP="00A40C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Dlatego tak ważne jest wsparcie tych grup ze strony publicznych służb zatrudnienia</w:t>
      </w:r>
      <w:r w:rsidR="00A40CC9">
        <w:rPr>
          <w:rFonts w:ascii="Times New Roman" w:hAnsi="Times New Roman" w:cs="Times New Roman"/>
          <w:sz w:val="24"/>
          <w:szCs w:val="24"/>
        </w:rPr>
        <w:t>. Wszystkie prowadzone w Wielkopolsce działania, realizowane projekty i programy, finansowane ze środków Funduszu Pracy i Europejskiego Funduszu Społecznego, poprzez aktywizację</w:t>
      </w:r>
      <w:r w:rsidR="005B0492">
        <w:rPr>
          <w:rFonts w:ascii="Times New Roman" w:hAnsi="Times New Roman" w:cs="Times New Roman"/>
          <w:sz w:val="24"/>
          <w:szCs w:val="24"/>
        </w:rPr>
        <w:t>,</w:t>
      </w:r>
      <w:r w:rsidR="00A40CC9">
        <w:rPr>
          <w:rFonts w:ascii="Times New Roman" w:hAnsi="Times New Roman" w:cs="Times New Roman"/>
          <w:sz w:val="24"/>
          <w:szCs w:val="24"/>
        </w:rPr>
        <w:t xml:space="preserve"> przyczyniają się do zmniejszenia bezrobocia wśród osób z tych kategorii wiekowych. </w:t>
      </w:r>
      <w:r w:rsidR="00CA6CF2">
        <w:rPr>
          <w:rFonts w:ascii="Times New Roman" w:hAnsi="Times New Roman" w:cs="Times New Roman"/>
          <w:sz w:val="24"/>
          <w:szCs w:val="24"/>
        </w:rPr>
        <w:t xml:space="preserve">Realizowane są także działania skierowane do uczniów i studentów, mające na celu zapobieganie niekorzystnym zjawiskom i zwiększające ich szanse na uzyskanie </w:t>
      </w:r>
      <w:r w:rsidR="00CA6CF2">
        <w:rPr>
          <w:rFonts w:ascii="Times New Roman" w:hAnsi="Times New Roman" w:cs="Times New Roman"/>
          <w:sz w:val="24"/>
          <w:szCs w:val="24"/>
        </w:rPr>
        <w:br/>
        <w:t xml:space="preserve">w przyszłości zatrudnienia. </w:t>
      </w:r>
    </w:p>
    <w:p w:rsidR="009D1972" w:rsidRPr="0010737F" w:rsidRDefault="0010737F" w:rsidP="009D197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Dz</w:t>
      </w:r>
      <w:r w:rsidRPr="0010737F">
        <w:rPr>
          <w:rFonts w:ascii="Times New Roman" w:hAnsi="Times New Roman" w:cs="Times New Roman"/>
          <w:sz w:val="24"/>
          <w:szCs w:val="24"/>
        </w:rPr>
        <w:t xml:space="preserve">iałania mające na celu ograniczenie bezrobocia, zwiększenie zatrudnienia, rozwój przedsiębiorczości oraz zasobów ludzkich </w:t>
      </w:r>
      <w:r>
        <w:rPr>
          <w:rFonts w:ascii="Times New Roman" w:hAnsi="Times New Roman" w:cs="Times New Roman"/>
          <w:sz w:val="24"/>
          <w:szCs w:val="24"/>
        </w:rPr>
        <w:t xml:space="preserve">w Wielkopolsce, </w:t>
      </w:r>
      <w:r w:rsidR="00B958A9">
        <w:rPr>
          <w:rFonts w:ascii="Times New Roman" w:hAnsi="Times New Roman" w:cs="Times New Roman"/>
          <w:sz w:val="24"/>
          <w:szCs w:val="24"/>
        </w:rPr>
        <w:t xml:space="preserve">w tym skierowane do osób do 30 oraz powyżej 45 roku życia, </w:t>
      </w:r>
      <w:r>
        <w:rPr>
          <w:rFonts w:ascii="Times New Roman" w:hAnsi="Times New Roman" w:cs="Times New Roman"/>
          <w:sz w:val="24"/>
          <w:szCs w:val="24"/>
        </w:rPr>
        <w:t xml:space="preserve">realizowane są systematycznie i kontynuowane będą </w:t>
      </w:r>
      <w:r w:rsidR="00B958A9">
        <w:rPr>
          <w:rFonts w:ascii="Times New Roman" w:hAnsi="Times New Roman" w:cs="Times New Roman"/>
          <w:sz w:val="24"/>
          <w:szCs w:val="24"/>
        </w:rPr>
        <w:br/>
      </w:r>
      <w:r>
        <w:rPr>
          <w:rFonts w:ascii="Times New Roman" w:hAnsi="Times New Roman" w:cs="Times New Roman"/>
          <w:sz w:val="24"/>
          <w:szCs w:val="24"/>
        </w:rPr>
        <w:t>w kolejnych latach.</w:t>
      </w:r>
    </w:p>
    <w:sectPr w:rsidR="009D1972" w:rsidRPr="0010737F" w:rsidSect="00080F78">
      <w:footerReference w:type="defaul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5B9" w:rsidRDefault="003F65B9" w:rsidP="009753C4">
      <w:pPr>
        <w:spacing w:after="0" w:line="240" w:lineRule="auto"/>
      </w:pPr>
      <w:r>
        <w:separator/>
      </w:r>
    </w:p>
  </w:endnote>
  <w:endnote w:type="continuationSeparator" w:id="0">
    <w:p w:rsidR="003F65B9" w:rsidRDefault="003F65B9" w:rsidP="00975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043774"/>
      <w:docPartObj>
        <w:docPartGallery w:val="Page Numbers (Bottom of Page)"/>
        <w:docPartUnique/>
      </w:docPartObj>
    </w:sdtPr>
    <w:sdtEndPr/>
    <w:sdtContent>
      <w:p w:rsidR="003F65B9" w:rsidRDefault="003F65B9">
        <w:pPr>
          <w:pStyle w:val="Stopka"/>
          <w:jc w:val="right"/>
        </w:pPr>
        <w:r>
          <w:fldChar w:fldCharType="begin"/>
        </w:r>
        <w:r>
          <w:instrText>PAGE   \* MERGEFORMAT</w:instrText>
        </w:r>
        <w:r>
          <w:fldChar w:fldCharType="separate"/>
        </w:r>
        <w:r w:rsidR="00F6087D">
          <w:rPr>
            <w:noProof/>
          </w:rPr>
          <w:t>4</w:t>
        </w:r>
        <w:r>
          <w:fldChar w:fldCharType="end"/>
        </w:r>
      </w:p>
    </w:sdtContent>
  </w:sdt>
  <w:p w:rsidR="003F65B9" w:rsidRDefault="003F65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5B9" w:rsidRDefault="003F65B9" w:rsidP="009753C4">
      <w:pPr>
        <w:spacing w:after="0" w:line="240" w:lineRule="auto"/>
      </w:pPr>
      <w:r>
        <w:separator/>
      </w:r>
    </w:p>
  </w:footnote>
  <w:footnote w:type="continuationSeparator" w:id="0">
    <w:p w:rsidR="003F65B9" w:rsidRDefault="003F65B9" w:rsidP="009753C4">
      <w:pPr>
        <w:spacing w:after="0" w:line="240" w:lineRule="auto"/>
      </w:pPr>
      <w:r>
        <w:continuationSeparator/>
      </w:r>
    </w:p>
  </w:footnote>
  <w:footnote w:id="1">
    <w:p w:rsidR="003F65B9" w:rsidRPr="00957D5F" w:rsidRDefault="003F65B9" w:rsidP="00957D5F">
      <w:pPr>
        <w:pStyle w:val="Tekstprzypisudolnego"/>
        <w:jc w:val="both"/>
        <w:rPr>
          <w:rFonts w:ascii="Times New Roman" w:hAnsi="Times New Roman" w:cs="Times New Roman"/>
        </w:rPr>
      </w:pPr>
      <w:r>
        <w:rPr>
          <w:rStyle w:val="Odwoanieprzypisudolnego"/>
        </w:rPr>
        <w:footnoteRef/>
      </w:r>
      <w:r>
        <w:t xml:space="preserve"> </w:t>
      </w:r>
      <w:r w:rsidRPr="00957D5F">
        <w:rPr>
          <w:rFonts w:ascii="Times New Roman" w:hAnsi="Times New Roman" w:cs="Times New Roman"/>
        </w:rPr>
        <w:t xml:space="preserve">Działania polegające na udzieleniu pomocy oraz wsparcia </w:t>
      </w:r>
      <w:r w:rsidR="00957D5F" w:rsidRPr="00957D5F">
        <w:rPr>
          <w:rFonts w:ascii="Times New Roman" w:hAnsi="Times New Roman" w:cs="Times New Roman"/>
        </w:rPr>
        <w:t xml:space="preserve">zwalnianym </w:t>
      </w:r>
      <w:r w:rsidRPr="00957D5F">
        <w:rPr>
          <w:rFonts w:ascii="Times New Roman" w:hAnsi="Times New Roman" w:cs="Times New Roman"/>
        </w:rPr>
        <w:t>pracownikom, w poszukiwaniu nowych możliwości zatrudnienia</w:t>
      </w:r>
      <w:r w:rsidR="00957D5F">
        <w:rPr>
          <w:rFonts w:ascii="Times New Roman" w:hAnsi="Times New Roman" w:cs="Times New Roman"/>
        </w:rPr>
        <w:t xml:space="preserve"> oraz zastosowaniu kompleksowego systemu wsparcia pracodawców przeprowadzających indywidulane lub grupowe zwolnienia pracowników</w:t>
      </w:r>
      <w:r w:rsidRPr="00957D5F">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E77"/>
    <w:multiLevelType w:val="hybridMultilevel"/>
    <w:tmpl w:val="55449EF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C96051F"/>
    <w:multiLevelType w:val="hybridMultilevel"/>
    <w:tmpl w:val="8D58EF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0344A3"/>
    <w:multiLevelType w:val="hybridMultilevel"/>
    <w:tmpl w:val="7D185E08"/>
    <w:lvl w:ilvl="0" w:tplc="9E966984">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2F57882"/>
    <w:multiLevelType w:val="hybridMultilevel"/>
    <w:tmpl w:val="0E2869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614264"/>
    <w:multiLevelType w:val="multilevel"/>
    <w:tmpl w:val="4A587F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AB42C0B"/>
    <w:multiLevelType w:val="hybridMultilevel"/>
    <w:tmpl w:val="7ED2CC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1455EE"/>
    <w:multiLevelType w:val="hybridMultilevel"/>
    <w:tmpl w:val="8B189C54"/>
    <w:lvl w:ilvl="0" w:tplc="2828E99C">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CCC76F0"/>
    <w:multiLevelType w:val="hybridMultilevel"/>
    <w:tmpl w:val="7152E0AC"/>
    <w:lvl w:ilvl="0" w:tplc="2E9C7B86">
      <w:start w:val="1"/>
      <w:numFmt w:val="bullet"/>
      <w:lvlText w:val="−"/>
      <w:lvlJc w:val="left"/>
      <w:pPr>
        <w:ind w:left="2138" w:hanging="360"/>
      </w:pPr>
      <w:rPr>
        <w:rFonts w:ascii="Courier New" w:hAnsi="Courier New"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
    <w:nsid w:val="26BA70B0"/>
    <w:multiLevelType w:val="hybridMultilevel"/>
    <w:tmpl w:val="C344809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7D7645C"/>
    <w:multiLevelType w:val="hybridMultilevel"/>
    <w:tmpl w:val="D522084C"/>
    <w:lvl w:ilvl="0" w:tplc="D690154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97D0BAF"/>
    <w:multiLevelType w:val="hybridMultilevel"/>
    <w:tmpl w:val="340E8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9BC0095"/>
    <w:multiLevelType w:val="hybridMultilevel"/>
    <w:tmpl w:val="0C1E46A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E205A4D"/>
    <w:multiLevelType w:val="hybridMultilevel"/>
    <w:tmpl w:val="1AD6FA7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4E927D25"/>
    <w:multiLevelType w:val="hybridMultilevel"/>
    <w:tmpl w:val="B596CC14"/>
    <w:lvl w:ilvl="0" w:tplc="2E9C7B8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F8A79F1"/>
    <w:multiLevelType w:val="hybridMultilevel"/>
    <w:tmpl w:val="B9E2B260"/>
    <w:lvl w:ilvl="0" w:tplc="1E46BD8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62025E7"/>
    <w:multiLevelType w:val="hybridMultilevel"/>
    <w:tmpl w:val="59F68702"/>
    <w:lvl w:ilvl="0" w:tplc="B304566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66B32855"/>
    <w:multiLevelType w:val="hybridMultilevel"/>
    <w:tmpl w:val="719E237E"/>
    <w:lvl w:ilvl="0" w:tplc="EF3A32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C6B2316"/>
    <w:multiLevelType w:val="hybridMultilevel"/>
    <w:tmpl w:val="C332D246"/>
    <w:lvl w:ilvl="0" w:tplc="3AC85AF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C6D7381"/>
    <w:multiLevelType w:val="hybridMultilevel"/>
    <w:tmpl w:val="E89421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4"/>
  </w:num>
  <w:num w:numId="5">
    <w:abstractNumId w:val="16"/>
  </w:num>
  <w:num w:numId="6">
    <w:abstractNumId w:val="18"/>
  </w:num>
  <w:num w:numId="7">
    <w:abstractNumId w:val="10"/>
  </w:num>
  <w:num w:numId="8">
    <w:abstractNumId w:val="15"/>
  </w:num>
  <w:num w:numId="9">
    <w:abstractNumId w:val="4"/>
  </w:num>
  <w:num w:numId="10">
    <w:abstractNumId w:val="0"/>
  </w:num>
  <w:num w:numId="11">
    <w:abstractNumId w:val="11"/>
  </w:num>
  <w:num w:numId="12">
    <w:abstractNumId w:val="8"/>
  </w:num>
  <w:num w:numId="13">
    <w:abstractNumId w:val="6"/>
  </w:num>
  <w:num w:numId="14">
    <w:abstractNumId w:val="17"/>
  </w:num>
  <w:num w:numId="15">
    <w:abstractNumId w:val="9"/>
  </w:num>
  <w:num w:numId="16">
    <w:abstractNumId w:val="12"/>
  </w:num>
  <w:num w:numId="17">
    <w:abstractNumId w:val="7"/>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09D"/>
    <w:rsid w:val="00004C73"/>
    <w:rsid w:val="00004E0C"/>
    <w:rsid w:val="00011123"/>
    <w:rsid w:val="00026FD3"/>
    <w:rsid w:val="00031ABF"/>
    <w:rsid w:val="00034958"/>
    <w:rsid w:val="000429AE"/>
    <w:rsid w:val="00063F9C"/>
    <w:rsid w:val="00067237"/>
    <w:rsid w:val="000741D7"/>
    <w:rsid w:val="00080F78"/>
    <w:rsid w:val="00081BC1"/>
    <w:rsid w:val="00082343"/>
    <w:rsid w:val="0008473A"/>
    <w:rsid w:val="000937E9"/>
    <w:rsid w:val="000957B8"/>
    <w:rsid w:val="00097DDB"/>
    <w:rsid w:val="000A50CE"/>
    <w:rsid w:val="000B1E49"/>
    <w:rsid w:val="000B56BB"/>
    <w:rsid w:val="000B669A"/>
    <w:rsid w:val="000C50C9"/>
    <w:rsid w:val="000E412E"/>
    <w:rsid w:val="000E765D"/>
    <w:rsid w:val="000F22EA"/>
    <w:rsid w:val="0010737F"/>
    <w:rsid w:val="00121818"/>
    <w:rsid w:val="00126264"/>
    <w:rsid w:val="00127AF5"/>
    <w:rsid w:val="0014015B"/>
    <w:rsid w:val="001423CD"/>
    <w:rsid w:val="001547C8"/>
    <w:rsid w:val="00156D4E"/>
    <w:rsid w:val="0017153D"/>
    <w:rsid w:val="00173ECC"/>
    <w:rsid w:val="00174DCA"/>
    <w:rsid w:val="001B2BCF"/>
    <w:rsid w:val="001B7F4D"/>
    <w:rsid w:val="001C284A"/>
    <w:rsid w:val="001C6EE1"/>
    <w:rsid w:val="001C763E"/>
    <w:rsid w:val="001D1C5F"/>
    <w:rsid w:val="001D79AA"/>
    <w:rsid w:val="001F20B7"/>
    <w:rsid w:val="001F6773"/>
    <w:rsid w:val="00200EAB"/>
    <w:rsid w:val="002068D4"/>
    <w:rsid w:val="00210C53"/>
    <w:rsid w:val="00213E0F"/>
    <w:rsid w:val="00226AED"/>
    <w:rsid w:val="00226DBF"/>
    <w:rsid w:val="00231F69"/>
    <w:rsid w:val="00243D2C"/>
    <w:rsid w:val="002479C3"/>
    <w:rsid w:val="00247E8D"/>
    <w:rsid w:val="00252BFF"/>
    <w:rsid w:val="00257307"/>
    <w:rsid w:val="00270C4D"/>
    <w:rsid w:val="002772B0"/>
    <w:rsid w:val="00281289"/>
    <w:rsid w:val="002873EC"/>
    <w:rsid w:val="00294289"/>
    <w:rsid w:val="002A0DF0"/>
    <w:rsid w:val="002A5DC6"/>
    <w:rsid w:val="002B4D4D"/>
    <w:rsid w:val="002D17E2"/>
    <w:rsid w:val="002D23F3"/>
    <w:rsid w:val="002D72C7"/>
    <w:rsid w:val="002E0CEC"/>
    <w:rsid w:val="002E76F5"/>
    <w:rsid w:val="002F1502"/>
    <w:rsid w:val="00322C1C"/>
    <w:rsid w:val="003334B2"/>
    <w:rsid w:val="00334924"/>
    <w:rsid w:val="00344EAC"/>
    <w:rsid w:val="00350DEA"/>
    <w:rsid w:val="00355502"/>
    <w:rsid w:val="00360213"/>
    <w:rsid w:val="0037191E"/>
    <w:rsid w:val="00383990"/>
    <w:rsid w:val="00385304"/>
    <w:rsid w:val="0038581D"/>
    <w:rsid w:val="003901D8"/>
    <w:rsid w:val="00391AE0"/>
    <w:rsid w:val="00391B5A"/>
    <w:rsid w:val="00392DF8"/>
    <w:rsid w:val="003A681A"/>
    <w:rsid w:val="003B1373"/>
    <w:rsid w:val="003B3D53"/>
    <w:rsid w:val="003C3ADF"/>
    <w:rsid w:val="003E0F58"/>
    <w:rsid w:val="003E541D"/>
    <w:rsid w:val="003F65B9"/>
    <w:rsid w:val="0040321F"/>
    <w:rsid w:val="0040517B"/>
    <w:rsid w:val="004107F3"/>
    <w:rsid w:val="00432509"/>
    <w:rsid w:val="00444BFF"/>
    <w:rsid w:val="00466D67"/>
    <w:rsid w:val="00470DEC"/>
    <w:rsid w:val="004714A4"/>
    <w:rsid w:val="004874F3"/>
    <w:rsid w:val="0049056D"/>
    <w:rsid w:val="00493FA1"/>
    <w:rsid w:val="004A39DF"/>
    <w:rsid w:val="004B675C"/>
    <w:rsid w:val="004C6B42"/>
    <w:rsid w:val="004C760B"/>
    <w:rsid w:val="004D52CF"/>
    <w:rsid w:val="004F5405"/>
    <w:rsid w:val="00511D4C"/>
    <w:rsid w:val="005136E9"/>
    <w:rsid w:val="00531AB8"/>
    <w:rsid w:val="005335B7"/>
    <w:rsid w:val="0054057B"/>
    <w:rsid w:val="00565FBD"/>
    <w:rsid w:val="00571525"/>
    <w:rsid w:val="00577D5F"/>
    <w:rsid w:val="00581816"/>
    <w:rsid w:val="005A60CB"/>
    <w:rsid w:val="005A7BC7"/>
    <w:rsid w:val="005B0492"/>
    <w:rsid w:val="005B172C"/>
    <w:rsid w:val="005C3D5C"/>
    <w:rsid w:val="005D0631"/>
    <w:rsid w:val="005D6A7E"/>
    <w:rsid w:val="005E18F5"/>
    <w:rsid w:val="005F5463"/>
    <w:rsid w:val="006040BE"/>
    <w:rsid w:val="006070F7"/>
    <w:rsid w:val="00610D86"/>
    <w:rsid w:val="006166E7"/>
    <w:rsid w:val="00616891"/>
    <w:rsid w:val="00671668"/>
    <w:rsid w:val="00674013"/>
    <w:rsid w:val="006748A1"/>
    <w:rsid w:val="006759E1"/>
    <w:rsid w:val="00696A3E"/>
    <w:rsid w:val="006B5EB9"/>
    <w:rsid w:val="006C5183"/>
    <w:rsid w:val="006E4D81"/>
    <w:rsid w:val="00701DB3"/>
    <w:rsid w:val="0072429A"/>
    <w:rsid w:val="00730B52"/>
    <w:rsid w:val="00730FFE"/>
    <w:rsid w:val="00750BC9"/>
    <w:rsid w:val="007562F9"/>
    <w:rsid w:val="00756BB1"/>
    <w:rsid w:val="00763715"/>
    <w:rsid w:val="0077152B"/>
    <w:rsid w:val="007776BD"/>
    <w:rsid w:val="00780830"/>
    <w:rsid w:val="007929E7"/>
    <w:rsid w:val="00795D7C"/>
    <w:rsid w:val="007A6D78"/>
    <w:rsid w:val="007B10DB"/>
    <w:rsid w:val="007B425B"/>
    <w:rsid w:val="007D57CF"/>
    <w:rsid w:val="007D6E7F"/>
    <w:rsid w:val="007D7BC2"/>
    <w:rsid w:val="007E709D"/>
    <w:rsid w:val="007F665E"/>
    <w:rsid w:val="007F6CEA"/>
    <w:rsid w:val="008005EE"/>
    <w:rsid w:val="0080410E"/>
    <w:rsid w:val="00806155"/>
    <w:rsid w:val="008104C4"/>
    <w:rsid w:val="00811260"/>
    <w:rsid w:val="0081168C"/>
    <w:rsid w:val="0081175F"/>
    <w:rsid w:val="008126B7"/>
    <w:rsid w:val="00817688"/>
    <w:rsid w:val="00825C02"/>
    <w:rsid w:val="00830ECC"/>
    <w:rsid w:val="0083261D"/>
    <w:rsid w:val="008446BD"/>
    <w:rsid w:val="00847019"/>
    <w:rsid w:val="00856049"/>
    <w:rsid w:val="00863BCD"/>
    <w:rsid w:val="008708A4"/>
    <w:rsid w:val="00877AF8"/>
    <w:rsid w:val="008832E1"/>
    <w:rsid w:val="008931F9"/>
    <w:rsid w:val="008A56B4"/>
    <w:rsid w:val="008D389C"/>
    <w:rsid w:val="008D418D"/>
    <w:rsid w:val="008F13F9"/>
    <w:rsid w:val="009301B5"/>
    <w:rsid w:val="0093103A"/>
    <w:rsid w:val="009343B9"/>
    <w:rsid w:val="009373BC"/>
    <w:rsid w:val="009448AB"/>
    <w:rsid w:val="0095079B"/>
    <w:rsid w:val="00952150"/>
    <w:rsid w:val="00957D5F"/>
    <w:rsid w:val="009740FD"/>
    <w:rsid w:val="009753C4"/>
    <w:rsid w:val="009818E9"/>
    <w:rsid w:val="00986E64"/>
    <w:rsid w:val="0099168F"/>
    <w:rsid w:val="009921E2"/>
    <w:rsid w:val="009938C4"/>
    <w:rsid w:val="009A6F5C"/>
    <w:rsid w:val="009A7984"/>
    <w:rsid w:val="009B34F2"/>
    <w:rsid w:val="009C2AE4"/>
    <w:rsid w:val="009C489F"/>
    <w:rsid w:val="009C4A6B"/>
    <w:rsid w:val="009D0593"/>
    <w:rsid w:val="009D1972"/>
    <w:rsid w:val="009D6B27"/>
    <w:rsid w:val="00A16E63"/>
    <w:rsid w:val="00A17A96"/>
    <w:rsid w:val="00A24529"/>
    <w:rsid w:val="00A4057A"/>
    <w:rsid w:val="00A40856"/>
    <w:rsid w:val="00A40CC9"/>
    <w:rsid w:val="00A44AB5"/>
    <w:rsid w:val="00A47131"/>
    <w:rsid w:val="00A65B42"/>
    <w:rsid w:val="00A713BE"/>
    <w:rsid w:val="00AB473C"/>
    <w:rsid w:val="00AD0546"/>
    <w:rsid w:val="00AD7FA0"/>
    <w:rsid w:val="00AE0364"/>
    <w:rsid w:val="00AE2BB6"/>
    <w:rsid w:val="00AE2EA3"/>
    <w:rsid w:val="00AE3692"/>
    <w:rsid w:val="00AE761E"/>
    <w:rsid w:val="00AF6697"/>
    <w:rsid w:val="00B02C78"/>
    <w:rsid w:val="00B05FE2"/>
    <w:rsid w:val="00B1193D"/>
    <w:rsid w:val="00B172C9"/>
    <w:rsid w:val="00B33691"/>
    <w:rsid w:val="00B35427"/>
    <w:rsid w:val="00B45008"/>
    <w:rsid w:val="00B52CF2"/>
    <w:rsid w:val="00B66BEC"/>
    <w:rsid w:val="00B76B73"/>
    <w:rsid w:val="00B958A9"/>
    <w:rsid w:val="00BA6448"/>
    <w:rsid w:val="00BC2E0A"/>
    <w:rsid w:val="00BE2C17"/>
    <w:rsid w:val="00BE3323"/>
    <w:rsid w:val="00BE5D46"/>
    <w:rsid w:val="00BF0939"/>
    <w:rsid w:val="00C004FF"/>
    <w:rsid w:val="00C0408E"/>
    <w:rsid w:val="00C127D6"/>
    <w:rsid w:val="00C15ACC"/>
    <w:rsid w:val="00C2588B"/>
    <w:rsid w:val="00C2654A"/>
    <w:rsid w:val="00C57CE9"/>
    <w:rsid w:val="00C67D07"/>
    <w:rsid w:val="00C800E4"/>
    <w:rsid w:val="00C9046A"/>
    <w:rsid w:val="00C96B54"/>
    <w:rsid w:val="00CA2645"/>
    <w:rsid w:val="00CA344F"/>
    <w:rsid w:val="00CA6CF2"/>
    <w:rsid w:val="00CC1249"/>
    <w:rsid w:val="00CC7849"/>
    <w:rsid w:val="00CE0E27"/>
    <w:rsid w:val="00CF673C"/>
    <w:rsid w:val="00D01619"/>
    <w:rsid w:val="00D14115"/>
    <w:rsid w:val="00D20289"/>
    <w:rsid w:val="00D5335A"/>
    <w:rsid w:val="00D5579F"/>
    <w:rsid w:val="00D62668"/>
    <w:rsid w:val="00D752D4"/>
    <w:rsid w:val="00D822D2"/>
    <w:rsid w:val="00D83FFD"/>
    <w:rsid w:val="00D8637B"/>
    <w:rsid w:val="00D86B3F"/>
    <w:rsid w:val="00D91E7A"/>
    <w:rsid w:val="00DA162A"/>
    <w:rsid w:val="00DA5FB9"/>
    <w:rsid w:val="00DB1039"/>
    <w:rsid w:val="00DC7941"/>
    <w:rsid w:val="00DD2C15"/>
    <w:rsid w:val="00DF09E9"/>
    <w:rsid w:val="00DF1D8D"/>
    <w:rsid w:val="00E23900"/>
    <w:rsid w:val="00E26937"/>
    <w:rsid w:val="00E26D2C"/>
    <w:rsid w:val="00E314B7"/>
    <w:rsid w:val="00E31FB7"/>
    <w:rsid w:val="00E605D8"/>
    <w:rsid w:val="00E67139"/>
    <w:rsid w:val="00E72250"/>
    <w:rsid w:val="00E93BF7"/>
    <w:rsid w:val="00E9480A"/>
    <w:rsid w:val="00E96309"/>
    <w:rsid w:val="00EA4369"/>
    <w:rsid w:val="00EB3544"/>
    <w:rsid w:val="00EB73F8"/>
    <w:rsid w:val="00EC59F7"/>
    <w:rsid w:val="00ED30AC"/>
    <w:rsid w:val="00ED7ED8"/>
    <w:rsid w:val="00EF33DD"/>
    <w:rsid w:val="00EF3518"/>
    <w:rsid w:val="00EF4BC9"/>
    <w:rsid w:val="00F16D99"/>
    <w:rsid w:val="00F21D68"/>
    <w:rsid w:val="00F25A57"/>
    <w:rsid w:val="00F3382B"/>
    <w:rsid w:val="00F40C7A"/>
    <w:rsid w:val="00F45571"/>
    <w:rsid w:val="00F51377"/>
    <w:rsid w:val="00F6087D"/>
    <w:rsid w:val="00F60D5B"/>
    <w:rsid w:val="00F61068"/>
    <w:rsid w:val="00F65F90"/>
    <w:rsid w:val="00F7177F"/>
    <w:rsid w:val="00F76262"/>
    <w:rsid w:val="00F76E62"/>
    <w:rsid w:val="00F77D40"/>
    <w:rsid w:val="00F80576"/>
    <w:rsid w:val="00F806BA"/>
    <w:rsid w:val="00F84A85"/>
    <w:rsid w:val="00F92CB7"/>
    <w:rsid w:val="00F970C6"/>
    <w:rsid w:val="00FA7CD3"/>
    <w:rsid w:val="00FB6536"/>
    <w:rsid w:val="00FC30A1"/>
    <w:rsid w:val="00FC4D4C"/>
    <w:rsid w:val="00FC6D6D"/>
    <w:rsid w:val="00FD32C7"/>
    <w:rsid w:val="00FE3069"/>
    <w:rsid w:val="00FE4034"/>
    <w:rsid w:val="00FF0104"/>
    <w:rsid w:val="00FF2E7B"/>
    <w:rsid w:val="00FF63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9B34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E70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E948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709D"/>
    <w:pPr>
      <w:ind w:left="720"/>
      <w:contextualSpacing/>
    </w:pPr>
  </w:style>
  <w:style w:type="character" w:customStyle="1" w:styleId="Nagwek2Znak">
    <w:name w:val="Nagłówek 2 Znak"/>
    <w:basedOn w:val="Domylnaczcionkaakapitu"/>
    <w:link w:val="Nagwek2"/>
    <w:uiPriority w:val="9"/>
    <w:rsid w:val="007E709D"/>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
    <w:rsid w:val="009B34F2"/>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9B34F2"/>
    <w:pPr>
      <w:outlineLvl w:val="9"/>
    </w:pPr>
    <w:rPr>
      <w:lang w:eastAsia="pl-PL"/>
    </w:rPr>
  </w:style>
  <w:style w:type="paragraph" w:styleId="Spistreci2">
    <w:name w:val="toc 2"/>
    <w:basedOn w:val="Normalny"/>
    <w:next w:val="Normalny"/>
    <w:autoRedefine/>
    <w:uiPriority w:val="39"/>
    <w:unhideWhenUsed/>
    <w:rsid w:val="009B34F2"/>
    <w:pPr>
      <w:spacing w:after="100"/>
      <w:ind w:left="220"/>
    </w:pPr>
  </w:style>
  <w:style w:type="character" w:styleId="Hipercze">
    <w:name w:val="Hyperlink"/>
    <w:basedOn w:val="Domylnaczcionkaakapitu"/>
    <w:uiPriority w:val="99"/>
    <w:unhideWhenUsed/>
    <w:rsid w:val="009B34F2"/>
    <w:rPr>
      <w:color w:val="0000FF" w:themeColor="hyperlink"/>
      <w:u w:val="single"/>
    </w:rPr>
  </w:style>
  <w:style w:type="paragraph" w:styleId="Tekstdymka">
    <w:name w:val="Balloon Text"/>
    <w:basedOn w:val="Normalny"/>
    <w:link w:val="TekstdymkaZnak"/>
    <w:uiPriority w:val="99"/>
    <w:semiHidden/>
    <w:unhideWhenUsed/>
    <w:rsid w:val="009B34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B34F2"/>
    <w:rPr>
      <w:rFonts w:ascii="Tahoma" w:hAnsi="Tahoma" w:cs="Tahoma"/>
      <w:sz w:val="16"/>
      <w:szCs w:val="16"/>
    </w:rPr>
  </w:style>
  <w:style w:type="paragraph" w:styleId="Spistreci1">
    <w:name w:val="toc 1"/>
    <w:basedOn w:val="Normalny"/>
    <w:next w:val="Normalny"/>
    <w:autoRedefine/>
    <w:uiPriority w:val="39"/>
    <w:unhideWhenUsed/>
    <w:rsid w:val="009B34F2"/>
    <w:pPr>
      <w:spacing w:after="100"/>
    </w:pPr>
  </w:style>
  <w:style w:type="paragraph" w:styleId="Nagwek">
    <w:name w:val="header"/>
    <w:basedOn w:val="Normalny"/>
    <w:link w:val="NagwekZnak"/>
    <w:uiPriority w:val="99"/>
    <w:unhideWhenUsed/>
    <w:rsid w:val="009753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53C4"/>
  </w:style>
  <w:style w:type="paragraph" w:styleId="Stopka">
    <w:name w:val="footer"/>
    <w:basedOn w:val="Normalny"/>
    <w:link w:val="StopkaZnak"/>
    <w:uiPriority w:val="99"/>
    <w:unhideWhenUsed/>
    <w:rsid w:val="009753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53C4"/>
  </w:style>
  <w:style w:type="character" w:customStyle="1" w:styleId="Nagwek3Znak">
    <w:name w:val="Nagłówek 3 Znak"/>
    <w:basedOn w:val="Domylnaczcionkaakapitu"/>
    <w:link w:val="Nagwek3"/>
    <w:uiPriority w:val="9"/>
    <w:rsid w:val="00E9480A"/>
    <w:rPr>
      <w:rFonts w:asciiTheme="majorHAnsi" w:eastAsiaTheme="majorEastAsia" w:hAnsiTheme="majorHAnsi" w:cstheme="majorBidi"/>
      <w:b/>
      <w:bCs/>
      <w:color w:val="4F81BD" w:themeColor="accent1"/>
    </w:rPr>
  </w:style>
  <w:style w:type="paragraph" w:styleId="Tekstprzypisukocowego">
    <w:name w:val="endnote text"/>
    <w:basedOn w:val="Normalny"/>
    <w:link w:val="TekstprzypisukocowegoZnak"/>
    <w:uiPriority w:val="99"/>
    <w:semiHidden/>
    <w:unhideWhenUsed/>
    <w:rsid w:val="00C040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0408E"/>
    <w:rPr>
      <w:sz w:val="20"/>
      <w:szCs w:val="20"/>
    </w:rPr>
  </w:style>
  <w:style w:type="character" w:styleId="Odwoanieprzypisukocowego">
    <w:name w:val="endnote reference"/>
    <w:basedOn w:val="Domylnaczcionkaakapitu"/>
    <w:uiPriority w:val="99"/>
    <w:semiHidden/>
    <w:unhideWhenUsed/>
    <w:rsid w:val="00C0408E"/>
    <w:rPr>
      <w:vertAlign w:val="superscript"/>
    </w:rPr>
  </w:style>
  <w:style w:type="paragraph" w:styleId="Spistreci3">
    <w:name w:val="toc 3"/>
    <w:basedOn w:val="Normalny"/>
    <w:next w:val="Normalny"/>
    <w:autoRedefine/>
    <w:uiPriority w:val="39"/>
    <w:unhideWhenUsed/>
    <w:rsid w:val="00730B52"/>
    <w:pPr>
      <w:spacing w:after="100"/>
      <w:ind w:left="440"/>
    </w:pPr>
  </w:style>
  <w:style w:type="paragraph" w:styleId="Tekstprzypisudolnego">
    <w:name w:val="footnote text"/>
    <w:basedOn w:val="Normalny"/>
    <w:link w:val="TekstprzypisudolnegoZnak"/>
    <w:uiPriority w:val="99"/>
    <w:semiHidden/>
    <w:unhideWhenUsed/>
    <w:rsid w:val="00511D4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11D4C"/>
    <w:rPr>
      <w:sz w:val="20"/>
      <w:szCs w:val="20"/>
    </w:rPr>
  </w:style>
  <w:style w:type="character" w:styleId="Odwoanieprzypisudolnego">
    <w:name w:val="footnote reference"/>
    <w:basedOn w:val="Domylnaczcionkaakapitu"/>
    <w:uiPriority w:val="99"/>
    <w:semiHidden/>
    <w:unhideWhenUsed/>
    <w:rsid w:val="00511D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9B34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E70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E948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709D"/>
    <w:pPr>
      <w:ind w:left="720"/>
      <w:contextualSpacing/>
    </w:pPr>
  </w:style>
  <w:style w:type="character" w:customStyle="1" w:styleId="Nagwek2Znak">
    <w:name w:val="Nagłówek 2 Znak"/>
    <w:basedOn w:val="Domylnaczcionkaakapitu"/>
    <w:link w:val="Nagwek2"/>
    <w:uiPriority w:val="9"/>
    <w:rsid w:val="007E709D"/>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
    <w:rsid w:val="009B34F2"/>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9B34F2"/>
    <w:pPr>
      <w:outlineLvl w:val="9"/>
    </w:pPr>
    <w:rPr>
      <w:lang w:eastAsia="pl-PL"/>
    </w:rPr>
  </w:style>
  <w:style w:type="paragraph" w:styleId="Spistreci2">
    <w:name w:val="toc 2"/>
    <w:basedOn w:val="Normalny"/>
    <w:next w:val="Normalny"/>
    <w:autoRedefine/>
    <w:uiPriority w:val="39"/>
    <w:unhideWhenUsed/>
    <w:rsid w:val="009B34F2"/>
    <w:pPr>
      <w:spacing w:after="100"/>
      <w:ind w:left="220"/>
    </w:pPr>
  </w:style>
  <w:style w:type="character" w:styleId="Hipercze">
    <w:name w:val="Hyperlink"/>
    <w:basedOn w:val="Domylnaczcionkaakapitu"/>
    <w:uiPriority w:val="99"/>
    <w:unhideWhenUsed/>
    <w:rsid w:val="009B34F2"/>
    <w:rPr>
      <w:color w:val="0000FF" w:themeColor="hyperlink"/>
      <w:u w:val="single"/>
    </w:rPr>
  </w:style>
  <w:style w:type="paragraph" w:styleId="Tekstdymka">
    <w:name w:val="Balloon Text"/>
    <w:basedOn w:val="Normalny"/>
    <w:link w:val="TekstdymkaZnak"/>
    <w:uiPriority w:val="99"/>
    <w:semiHidden/>
    <w:unhideWhenUsed/>
    <w:rsid w:val="009B34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B34F2"/>
    <w:rPr>
      <w:rFonts w:ascii="Tahoma" w:hAnsi="Tahoma" w:cs="Tahoma"/>
      <w:sz w:val="16"/>
      <w:szCs w:val="16"/>
    </w:rPr>
  </w:style>
  <w:style w:type="paragraph" w:styleId="Spistreci1">
    <w:name w:val="toc 1"/>
    <w:basedOn w:val="Normalny"/>
    <w:next w:val="Normalny"/>
    <w:autoRedefine/>
    <w:uiPriority w:val="39"/>
    <w:unhideWhenUsed/>
    <w:rsid w:val="009B34F2"/>
    <w:pPr>
      <w:spacing w:after="100"/>
    </w:pPr>
  </w:style>
  <w:style w:type="paragraph" w:styleId="Nagwek">
    <w:name w:val="header"/>
    <w:basedOn w:val="Normalny"/>
    <w:link w:val="NagwekZnak"/>
    <w:uiPriority w:val="99"/>
    <w:unhideWhenUsed/>
    <w:rsid w:val="009753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53C4"/>
  </w:style>
  <w:style w:type="paragraph" w:styleId="Stopka">
    <w:name w:val="footer"/>
    <w:basedOn w:val="Normalny"/>
    <w:link w:val="StopkaZnak"/>
    <w:uiPriority w:val="99"/>
    <w:unhideWhenUsed/>
    <w:rsid w:val="009753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53C4"/>
  </w:style>
  <w:style w:type="character" w:customStyle="1" w:styleId="Nagwek3Znak">
    <w:name w:val="Nagłówek 3 Znak"/>
    <w:basedOn w:val="Domylnaczcionkaakapitu"/>
    <w:link w:val="Nagwek3"/>
    <w:uiPriority w:val="9"/>
    <w:rsid w:val="00E9480A"/>
    <w:rPr>
      <w:rFonts w:asciiTheme="majorHAnsi" w:eastAsiaTheme="majorEastAsia" w:hAnsiTheme="majorHAnsi" w:cstheme="majorBidi"/>
      <w:b/>
      <w:bCs/>
      <w:color w:val="4F81BD" w:themeColor="accent1"/>
    </w:rPr>
  </w:style>
  <w:style w:type="paragraph" w:styleId="Tekstprzypisukocowego">
    <w:name w:val="endnote text"/>
    <w:basedOn w:val="Normalny"/>
    <w:link w:val="TekstprzypisukocowegoZnak"/>
    <w:uiPriority w:val="99"/>
    <w:semiHidden/>
    <w:unhideWhenUsed/>
    <w:rsid w:val="00C040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0408E"/>
    <w:rPr>
      <w:sz w:val="20"/>
      <w:szCs w:val="20"/>
    </w:rPr>
  </w:style>
  <w:style w:type="character" w:styleId="Odwoanieprzypisukocowego">
    <w:name w:val="endnote reference"/>
    <w:basedOn w:val="Domylnaczcionkaakapitu"/>
    <w:uiPriority w:val="99"/>
    <w:semiHidden/>
    <w:unhideWhenUsed/>
    <w:rsid w:val="00C0408E"/>
    <w:rPr>
      <w:vertAlign w:val="superscript"/>
    </w:rPr>
  </w:style>
  <w:style w:type="paragraph" w:styleId="Spistreci3">
    <w:name w:val="toc 3"/>
    <w:basedOn w:val="Normalny"/>
    <w:next w:val="Normalny"/>
    <w:autoRedefine/>
    <w:uiPriority w:val="39"/>
    <w:unhideWhenUsed/>
    <w:rsid w:val="00730B52"/>
    <w:pPr>
      <w:spacing w:after="100"/>
      <w:ind w:left="440"/>
    </w:pPr>
  </w:style>
  <w:style w:type="paragraph" w:styleId="Tekstprzypisudolnego">
    <w:name w:val="footnote text"/>
    <w:basedOn w:val="Normalny"/>
    <w:link w:val="TekstprzypisudolnegoZnak"/>
    <w:uiPriority w:val="99"/>
    <w:semiHidden/>
    <w:unhideWhenUsed/>
    <w:rsid w:val="00511D4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11D4C"/>
    <w:rPr>
      <w:sz w:val="20"/>
      <w:szCs w:val="20"/>
    </w:rPr>
  </w:style>
  <w:style w:type="character" w:styleId="Odwoanieprzypisudolnego">
    <w:name w:val="footnote reference"/>
    <w:basedOn w:val="Domylnaczcionkaakapitu"/>
    <w:uiPriority w:val="99"/>
    <w:semiHidden/>
    <w:unhideWhenUsed/>
    <w:rsid w:val="00511D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4434">
      <w:bodyDiv w:val="1"/>
      <w:marLeft w:val="0"/>
      <w:marRight w:val="0"/>
      <w:marTop w:val="0"/>
      <w:marBottom w:val="0"/>
      <w:divBdr>
        <w:top w:val="none" w:sz="0" w:space="0" w:color="auto"/>
        <w:left w:val="none" w:sz="0" w:space="0" w:color="auto"/>
        <w:bottom w:val="none" w:sz="0" w:space="0" w:color="auto"/>
        <w:right w:val="none" w:sz="0" w:space="0" w:color="auto"/>
      </w:divBdr>
    </w:div>
    <w:div w:id="77410057">
      <w:bodyDiv w:val="1"/>
      <w:marLeft w:val="0"/>
      <w:marRight w:val="0"/>
      <w:marTop w:val="0"/>
      <w:marBottom w:val="0"/>
      <w:divBdr>
        <w:top w:val="none" w:sz="0" w:space="0" w:color="auto"/>
        <w:left w:val="none" w:sz="0" w:space="0" w:color="auto"/>
        <w:bottom w:val="none" w:sz="0" w:space="0" w:color="auto"/>
        <w:right w:val="none" w:sz="0" w:space="0" w:color="auto"/>
      </w:divBdr>
    </w:div>
    <w:div w:id="174736190">
      <w:bodyDiv w:val="1"/>
      <w:marLeft w:val="0"/>
      <w:marRight w:val="0"/>
      <w:marTop w:val="0"/>
      <w:marBottom w:val="0"/>
      <w:divBdr>
        <w:top w:val="none" w:sz="0" w:space="0" w:color="auto"/>
        <w:left w:val="none" w:sz="0" w:space="0" w:color="auto"/>
        <w:bottom w:val="none" w:sz="0" w:space="0" w:color="auto"/>
        <w:right w:val="none" w:sz="0" w:space="0" w:color="auto"/>
      </w:divBdr>
    </w:div>
    <w:div w:id="948437793">
      <w:bodyDiv w:val="1"/>
      <w:marLeft w:val="0"/>
      <w:marRight w:val="0"/>
      <w:marTop w:val="0"/>
      <w:marBottom w:val="0"/>
      <w:divBdr>
        <w:top w:val="none" w:sz="0" w:space="0" w:color="auto"/>
        <w:left w:val="none" w:sz="0" w:space="0" w:color="auto"/>
        <w:bottom w:val="none" w:sz="0" w:space="0" w:color="auto"/>
        <w:right w:val="none" w:sz="0" w:space="0" w:color="auto"/>
      </w:divBdr>
    </w:div>
    <w:div w:id="1195196597">
      <w:bodyDiv w:val="1"/>
      <w:marLeft w:val="0"/>
      <w:marRight w:val="0"/>
      <w:marTop w:val="0"/>
      <w:marBottom w:val="0"/>
      <w:divBdr>
        <w:top w:val="none" w:sz="0" w:space="0" w:color="auto"/>
        <w:left w:val="none" w:sz="0" w:space="0" w:color="auto"/>
        <w:bottom w:val="none" w:sz="0" w:space="0" w:color="auto"/>
        <w:right w:val="none" w:sz="0" w:space="0" w:color="auto"/>
      </w:divBdr>
    </w:div>
    <w:div w:id="199938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Arkusz_programu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Arkusz_programu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Arkusz_programu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Arkusz_programu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Arkusz_programu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Arkusz_programu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Arkusz_programu_Microsoft_Excel16.xlsx"/></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Arkusz_programu_Microsoft_Excel17.xlsx"/></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Arkusz_programu_Microsoft_Excel18.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Arkusz_programu_Microsoft_Excel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Arkusz_programu_Microsoft_Excel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Arkusz_programu_Microsoft_Excel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Arkusz_programu_Microsoft_Excel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Arkusz_programu_Microsoft_Excel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Arkusz_programu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Arkusz_programu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Arkusz_programu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Arkusz1!$B$2</c:f>
              <c:strCache>
                <c:ptCount val="1"/>
                <c:pt idx="0">
                  <c:v>2009</c:v>
                </c:pt>
              </c:strCache>
            </c:strRef>
          </c:tx>
          <c:spPr>
            <a:solidFill>
              <a:srgbClr val="FFFF66"/>
            </a:solidFill>
          </c:spPr>
          <c:invertIfNegative val="0"/>
          <c:dLbls>
            <c:numFmt formatCode="#,##0" sourceLinked="0"/>
            <c:txPr>
              <a:bodyPr rot="-5400000" vert="horz"/>
              <a:lstStyle/>
              <a:p>
                <a:pPr>
                  <a:defRPr/>
                </a:pPr>
                <a:endParaRPr lang="pl-PL"/>
              </a:p>
            </c:txPr>
            <c:dLblPos val="inBase"/>
            <c:showLegendKey val="0"/>
            <c:showVal val="1"/>
            <c:showCatName val="0"/>
            <c:showSerName val="0"/>
            <c:showPercent val="0"/>
            <c:showBubbleSize val="0"/>
            <c:showLeaderLines val="0"/>
          </c:dLbls>
          <c:cat>
            <c:strRef>
              <c:f>Arkusz1!$A$3:$A$5</c:f>
              <c:strCache>
                <c:ptCount val="3"/>
                <c:pt idx="0">
                  <c:v>ogółem</c:v>
                </c:pt>
                <c:pt idx="1">
                  <c:v>do 25 roku życia</c:v>
                </c:pt>
                <c:pt idx="2">
                  <c:v>powyżej 50 roku życia</c:v>
                </c:pt>
              </c:strCache>
            </c:strRef>
          </c:cat>
          <c:val>
            <c:numRef>
              <c:f>Arkusz1!$B$3:$B$5</c:f>
              <c:numCache>
                <c:formatCode>General</c:formatCode>
                <c:ptCount val="3"/>
                <c:pt idx="0">
                  <c:v>133563</c:v>
                </c:pt>
                <c:pt idx="1">
                  <c:v>35119</c:v>
                </c:pt>
                <c:pt idx="2">
                  <c:v>23861</c:v>
                </c:pt>
              </c:numCache>
            </c:numRef>
          </c:val>
        </c:ser>
        <c:ser>
          <c:idx val="1"/>
          <c:order val="1"/>
          <c:tx>
            <c:strRef>
              <c:f>Arkusz1!$C$2</c:f>
              <c:strCache>
                <c:ptCount val="1"/>
                <c:pt idx="0">
                  <c:v>2010</c:v>
                </c:pt>
              </c:strCache>
            </c:strRef>
          </c:tx>
          <c:spPr>
            <a:solidFill>
              <a:srgbClr val="9999FF"/>
            </a:solidFill>
          </c:spPr>
          <c:invertIfNegative val="0"/>
          <c:dLbls>
            <c:numFmt formatCode="#,##0" sourceLinked="0"/>
            <c:txPr>
              <a:bodyPr rot="-5400000" vert="horz"/>
              <a:lstStyle/>
              <a:p>
                <a:pPr>
                  <a:defRPr/>
                </a:pPr>
                <a:endParaRPr lang="pl-PL"/>
              </a:p>
            </c:txPr>
            <c:dLblPos val="inBase"/>
            <c:showLegendKey val="0"/>
            <c:showVal val="1"/>
            <c:showCatName val="0"/>
            <c:showSerName val="0"/>
            <c:showPercent val="0"/>
            <c:showBubbleSize val="0"/>
            <c:showLeaderLines val="0"/>
          </c:dLbls>
          <c:cat>
            <c:strRef>
              <c:f>Arkusz1!$A$3:$A$5</c:f>
              <c:strCache>
                <c:ptCount val="3"/>
                <c:pt idx="0">
                  <c:v>ogółem</c:v>
                </c:pt>
                <c:pt idx="1">
                  <c:v>do 25 roku życia</c:v>
                </c:pt>
                <c:pt idx="2">
                  <c:v>powyżej 50 roku życia</c:v>
                </c:pt>
              </c:strCache>
            </c:strRef>
          </c:cat>
          <c:val>
            <c:numRef>
              <c:f>Arkusz1!$C$3:$C$5</c:f>
              <c:numCache>
                <c:formatCode>General</c:formatCode>
                <c:ptCount val="3"/>
                <c:pt idx="0">
                  <c:v>135172</c:v>
                </c:pt>
                <c:pt idx="1">
                  <c:v>34147</c:v>
                </c:pt>
                <c:pt idx="2">
                  <c:v>25742</c:v>
                </c:pt>
              </c:numCache>
            </c:numRef>
          </c:val>
        </c:ser>
        <c:ser>
          <c:idx val="2"/>
          <c:order val="2"/>
          <c:tx>
            <c:strRef>
              <c:f>Arkusz1!$D$2</c:f>
              <c:strCache>
                <c:ptCount val="1"/>
                <c:pt idx="0">
                  <c:v>2011</c:v>
                </c:pt>
              </c:strCache>
            </c:strRef>
          </c:tx>
          <c:spPr>
            <a:solidFill>
              <a:srgbClr val="FF99FF"/>
            </a:solidFill>
          </c:spPr>
          <c:invertIfNegative val="0"/>
          <c:dLbls>
            <c:numFmt formatCode="#,##0" sourceLinked="0"/>
            <c:txPr>
              <a:bodyPr rot="-5400000" vert="horz"/>
              <a:lstStyle/>
              <a:p>
                <a:pPr>
                  <a:defRPr/>
                </a:pPr>
                <a:endParaRPr lang="pl-PL"/>
              </a:p>
            </c:txPr>
            <c:dLblPos val="inBase"/>
            <c:showLegendKey val="0"/>
            <c:showVal val="1"/>
            <c:showCatName val="0"/>
            <c:showSerName val="0"/>
            <c:showPercent val="0"/>
            <c:showBubbleSize val="0"/>
            <c:showLeaderLines val="0"/>
          </c:dLbls>
          <c:cat>
            <c:strRef>
              <c:f>Arkusz1!$A$3:$A$5</c:f>
              <c:strCache>
                <c:ptCount val="3"/>
                <c:pt idx="0">
                  <c:v>ogółem</c:v>
                </c:pt>
                <c:pt idx="1">
                  <c:v>do 25 roku życia</c:v>
                </c:pt>
                <c:pt idx="2">
                  <c:v>powyżej 50 roku życia</c:v>
                </c:pt>
              </c:strCache>
            </c:strRef>
          </c:cat>
          <c:val>
            <c:numRef>
              <c:f>Arkusz1!$D$3:$D$5</c:f>
              <c:numCache>
                <c:formatCode>General</c:formatCode>
                <c:ptCount val="3"/>
                <c:pt idx="0">
                  <c:v>134954</c:v>
                </c:pt>
                <c:pt idx="1">
                  <c:v>32637</c:v>
                </c:pt>
                <c:pt idx="2">
                  <c:v>26581</c:v>
                </c:pt>
              </c:numCache>
            </c:numRef>
          </c:val>
        </c:ser>
        <c:dLbls>
          <c:showLegendKey val="0"/>
          <c:showVal val="0"/>
          <c:showCatName val="0"/>
          <c:showSerName val="0"/>
          <c:showPercent val="0"/>
          <c:showBubbleSize val="0"/>
        </c:dLbls>
        <c:gapWidth val="150"/>
        <c:axId val="28908928"/>
        <c:axId val="28927104"/>
      </c:barChart>
      <c:catAx>
        <c:axId val="28908928"/>
        <c:scaling>
          <c:orientation val="minMax"/>
        </c:scaling>
        <c:delete val="0"/>
        <c:axPos val="b"/>
        <c:majorTickMark val="out"/>
        <c:minorTickMark val="none"/>
        <c:tickLblPos val="nextTo"/>
        <c:crossAx val="28927104"/>
        <c:crosses val="autoZero"/>
        <c:auto val="1"/>
        <c:lblAlgn val="ctr"/>
        <c:lblOffset val="100"/>
        <c:noMultiLvlLbl val="0"/>
      </c:catAx>
      <c:valAx>
        <c:axId val="28927104"/>
        <c:scaling>
          <c:orientation val="minMax"/>
        </c:scaling>
        <c:delete val="0"/>
        <c:axPos val="l"/>
        <c:numFmt formatCode="General" sourceLinked="1"/>
        <c:majorTickMark val="out"/>
        <c:minorTickMark val="none"/>
        <c:tickLblPos val="nextTo"/>
        <c:crossAx val="28908928"/>
        <c:crosses val="autoZero"/>
        <c:crossBetween val="between"/>
      </c:valAx>
      <c:spPr>
        <a:noFill/>
        <a:ln>
          <a:noFill/>
        </a:ln>
      </c:spPr>
    </c:plotArea>
    <c:legend>
      <c:legendPos val="b"/>
      <c:layout/>
      <c:overlay val="0"/>
    </c:legend>
    <c:plotVisOnly val="1"/>
    <c:dispBlanksAs val="gap"/>
    <c:showDLblsOverMax val="0"/>
  </c:chart>
  <c:spPr>
    <a:no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'do 25 roku życia wykształcenie'!$B$1</c:f>
              <c:strCache>
                <c:ptCount val="1"/>
                <c:pt idx="0">
                  <c:v>2009</c:v>
                </c:pt>
              </c:strCache>
            </c:strRef>
          </c:tx>
          <c:spPr>
            <a:solidFill>
              <a:schemeClr val="accent5">
                <a:lumMod val="40000"/>
                <a:lumOff val="60000"/>
              </a:schemeClr>
            </a:solidFill>
          </c:spPr>
          <c:invertIfNegative val="0"/>
          <c:dPt>
            <c:idx val="0"/>
            <c:invertIfNegative val="0"/>
            <c:bubble3D val="0"/>
            <c:spPr>
              <a:solidFill>
                <a:schemeClr val="accent4">
                  <a:lumMod val="40000"/>
                  <a:lumOff val="60000"/>
                </a:schemeClr>
              </a:solidFill>
            </c:spPr>
          </c:dPt>
          <c:dPt>
            <c:idx val="1"/>
            <c:invertIfNegative val="0"/>
            <c:bubble3D val="0"/>
            <c:spPr>
              <a:solidFill>
                <a:schemeClr val="accent4">
                  <a:lumMod val="40000"/>
                  <a:lumOff val="60000"/>
                </a:schemeClr>
              </a:solidFill>
            </c:spPr>
          </c:dPt>
          <c:dPt>
            <c:idx val="2"/>
            <c:invertIfNegative val="0"/>
            <c:bubble3D val="0"/>
            <c:spPr>
              <a:solidFill>
                <a:schemeClr val="accent4">
                  <a:lumMod val="40000"/>
                  <a:lumOff val="60000"/>
                </a:schemeClr>
              </a:solidFill>
            </c:spPr>
          </c:dPt>
          <c:dPt>
            <c:idx val="3"/>
            <c:invertIfNegative val="0"/>
            <c:bubble3D val="0"/>
            <c:spPr>
              <a:solidFill>
                <a:schemeClr val="accent4">
                  <a:lumMod val="40000"/>
                  <a:lumOff val="60000"/>
                </a:schemeClr>
              </a:solidFill>
            </c:spPr>
          </c:dPt>
          <c:dPt>
            <c:idx val="4"/>
            <c:invertIfNegative val="0"/>
            <c:bubble3D val="0"/>
            <c:spPr>
              <a:solidFill>
                <a:schemeClr val="accent4">
                  <a:lumMod val="40000"/>
                  <a:lumOff val="60000"/>
                </a:schemeClr>
              </a:solidFill>
            </c:spPr>
          </c:dPt>
          <c:dLbls>
            <c:numFmt formatCode="#,##0" sourceLinked="0"/>
            <c:txPr>
              <a:bodyPr rot="-5400000" vert="horz"/>
              <a:lstStyle/>
              <a:p>
                <a:pPr>
                  <a:defRPr/>
                </a:pPr>
                <a:endParaRPr lang="pl-PL"/>
              </a:p>
            </c:txPr>
            <c:showLegendKey val="0"/>
            <c:showVal val="1"/>
            <c:showCatName val="0"/>
            <c:showSerName val="0"/>
            <c:showPercent val="0"/>
            <c:showBubbleSize val="0"/>
            <c:showLeaderLines val="0"/>
          </c:dLbls>
          <c:cat>
            <c:strRef>
              <c:f>'do 25 roku życia wykształcenie'!$A$2:$A$6</c:f>
              <c:strCache>
                <c:ptCount val="5"/>
                <c:pt idx="0">
                  <c:v>wyższe</c:v>
                </c:pt>
                <c:pt idx="1">
                  <c:v>policelane i średnie zawodowe</c:v>
                </c:pt>
                <c:pt idx="2">
                  <c:v>średnie ogólnokształcące</c:v>
                </c:pt>
                <c:pt idx="3">
                  <c:v>zasadnicze zawodowe</c:v>
                </c:pt>
                <c:pt idx="4">
                  <c:v>gimnazjalne i poniżej</c:v>
                </c:pt>
              </c:strCache>
            </c:strRef>
          </c:cat>
          <c:val>
            <c:numRef>
              <c:f>'do 25 roku życia wykształcenie'!$B$2:$B$6</c:f>
              <c:numCache>
                <c:formatCode>General</c:formatCode>
                <c:ptCount val="5"/>
                <c:pt idx="0">
                  <c:v>3031</c:v>
                </c:pt>
                <c:pt idx="1">
                  <c:v>9267</c:v>
                </c:pt>
                <c:pt idx="2">
                  <c:v>7827</c:v>
                </c:pt>
                <c:pt idx="3">
                  <c:v>8442</c:v>
                </c:pt>
                <c:pt idx="4">
                  <c:v>6552</c:v>
                </c:pt>
              </c:numCache>
            </c:numRef>
          </c:val>
        </c:ser>
        <c:ser>
          <c:idx val="1"/>
          <c:order val="1"/>
          <c:tx>
            <c:strRef>
              <c:f>'do 25 roku życia wykształcenie'!$C$1</c:f>
              <c:strCache>
                <c:ptCount val="1"/>
                <c:pt idx="0">
                  <c:v>2010</c:v>
                </c:pt>
              </c:strCache>
            </c:strRef>
          </c:tx>
          <c:spPr>
            <a:solidFill>
              <a:schemeClr val="accent4"/>
            </a:solidFill>
          </c:spPr>
          <c:invertIfNegative val="0"/>
          <c:dLbls>
            <c:numFmt formatCode="#,##0" sourceLinked="0"/>
            <c:txPr>
              <a:bodyPr rot="-5400000" vert="horz"/>
              <a:lstStyle/>
              <a:p>
                <a:pPr>
                  <a:defRPr/>
                </a:pPr>
                <a:endParaRPr lang="pl-PL"/>
              </a:p>
            </c:txPr>
            <c:showLegendKey val="0"/>
            <c:showVal val="1"/>
            <c:showCatName val="0"/>
            <c:showSerName val="0"/>
            <c:showPercent val="0"/>
            <c:showBubbleSize val="0"/>
            <c:showLeaderLines val="0"/>
          </c:dLbls>
          <c:cat>
            <c:strRef>
              <c:f>'do 25 roku życia wykształcenie'!$A$2:$A$6</c:f>
              <c:strCache>
                <c:ptCount val="5"/>
                <c:pt idx="0">
                  <c:v>wyższe</c:v>
                </c:pt>
                <c:pt idx="1">
                  <c:v>policelane i średnie zawodowe</c:v>
                </c:pt>
                <c:pt idx="2">
                  <c:v>średnie ogólnokształcące</c:v>
                </c:pt>
                <c:pt idx="3">
                  <c:v>zasadnicze zawodowe</c:v>
                </c:pt>
                <c:pt idx="4">
                  <c:v>gimnazjalne i poniżej</c:v>
                </c:pt>
              </c:strCache>
            </c:strRef>
          </c:cat>
          <c:val>
            <c:numRef>
              <c:f>'do 25 roku życia wykształcenie'!$C$2:$C$6</c:f>
              <c:numCache>
                <c:formatCode>General</c:formatCode>
                <c:ptCount val="5"/>
                <c:pt idx="0">
                  <c:v>3084</c:v>
                </c:pt>
                <c:pt idx="1">
                  <c:v>8791</c:v>
                </c:pt>
                <c:pt idx="2">
                  <c:v>7542</c:v>
                </c:pt>
                <c:pt idx="3">
                  <c:v>8295</c:v>
                </c:pt>
                <c:pt idx="4">
                  <c:v>6435</c:v>
                </c:pt>
              </c:numCache>
            </c:numRef>
          </c:val>
        </c:ser>
        <c:ser>
          <c:idx val="2"/>
          <c:order val="2"/>
          <c:tx>
            <c:strRef>
              <c:f>'do 25 roku życia wykształcenie'!$D$1</c:f>
              <c:strCache>
                <c:ptCount val="1"/>
                <c:pt idx="0">
                  <c:v>2011</c:v>
                </c:pt>
              </c:strCache>
            </c:strRef>
          </c:tx>
          <c:spPr>
            <a:solidFill>
              <a:schemeClr val="accent4">
                <a:lumMod val="50000"/>
              </a:schemeClr>
            </a:solidFill>
          </c:spPr>
          <c:invertIfNegative val="0"/>
          <c:dLbls>
            <c:numFmt formatCode="#,##0" sourceLinked="0"/>
            <c:txPr>
              <a:bodyPr rot="-5400000" vert="horz"/>
              <a:lstStyle/>
              <a:p>
                <a:pPr>
                  <a:defRPr/>
                </a:pPr>
                <a:endParaRPr lang="pl-PL"/>
              </a:p>
            </c:txPr>
            <c:showLegendKey val="0"/>
            <c:showVal val="1"/>
            <c:showCatName val="0"/>
            <c:showSerName val="0"/>
            <c:showPercent val="0"/>
            <c:showBubbleSize val="0"/>
            <c:showLeaderLines val="0"/>
          </c:dLbls>
          <c:cat>
            <c:strRef>
              <c:f>'do 25 roku życia wykształcenie'!$A$2:$A$6</c:f>
              <c:strCache>
                <c:ptCount val="5"/>
                <c:pt idx="0">
                  <c:v>wyższe</c:v>
                </c:pt>
                <c:pt idx="1">
                  <c:v>policelane i średnie zawodowe</c:v>
                </c:pt>
                <c:pt idx="2">
                  <c:v>średnie ogólnokształcące</c:v>
                </c:pt>
                <c:pt idx="3">
                  <c:v>zasadnicze zawodowe</c:v>
                </c:pt>
                <c:pt idx="4">
                  <c:v>gimnazjalne i poniżej</c:v>
                </c:pt>
              </c:strCache>
            </c:strRef>
          </c:cat>
          <c:val>
            <c:numRef>
              <c:f>'do 25 roku życia wykształcenie'!$D$2:$D$6</c:f>
              <c:numCache>
                <c:formatCode>General</c:formatCode>
                <c:ptCount val="5"/>
                <c:pt idx="0">
                  <c:v>2935</c:v>
                </c:pt>
                <c:pt idx="1">
                  <c:v>8610</c:v>
                </c:pt>
                <c:pt idx="2">
                  <c:v>6468</c:v>
                </c:pt>
                <c:pt idx="3">
                  <c:v>8351</c:v>
                </c:pt>
                <c:pt idx="4">
                  <c:v>6273</c:v>
                </c:pt>
              </c:numCache>
            </c:numRef>
          </c:val>
        </c:ser>
        <c:dLbls>
          <c:showLegendKey val="0"/>
          <c:showVal val="0"/>
          <c:showCatName val="0"/>
          <c:showSerName val="0"/>
          <c:showPercent val="0"/>
          <c:showBubbleSize val="0"/>
        </c:dLbls>
        <c:gapWidth val="150"/>
        <c:axId val="108389888"/>
        <c:axId val="108391424"/>
      </c:barChart>
      <c:catAx>
        <c:axId val="108389888"/>
        <c:scaling>
          <c:orientation val="minMax"/>
        </c:scaling>
        <c:delete val="0"/>
        <c:axPos val="b"/>
        <c:majorTickMark val="out"/>
        <c:minorTickMark val="none"/>
        <c:tickLblPos val="nextTo"/>
        <c:txPr>
          <a:bodyPr rot="0" anchor="t" anchorCtr="1"/>
          <a:lstStyle/>
          <a:p>
            <a:pPr>
              <a:defRPr/>
            </a:pPr>
            <a:endParaRPr lang="pl-PL"/>
          </a:p>
        </c:txPr>
        <c:crossAx val="108391424"/>
        <c:crosses val="autoZero"/>
        <c:auto val="1"/>
        <c:lblAlgn val="ctr"/>
        <c:lblOffset val="100"/>
        <c:noMultiLvlLbl val="0"/>
      </c:catAx>
      <c:valAx>
        <c:axId val="108391424"/>
        <c:scaling>
          <c:orientation val="minMax"/>
        </c:scaling>
        <c:delete val="0"/>
        <c:axPos val="l"/>
        <c:numFmt formatCode="General" sourceLinked="1"/>
        <c:majorTickMark val="out"/>
        <c:minorTickMark val="none"/>
        <c:tickLblPos val="nextTo"/>
        <c:crossAx val="108389888"/>
        <c:crosses val="autoZero"/>
        <c:crossBetween val="between"/>
      </c:valAx>
      <c:spPr>
        <a:noFill/>
        <a:ln>
          <a:noFill/>
        </a:ln>
      </c:spPr>
    </c:plotArea>
    <c:legend>
      <c:legendPos val="b"/>
      <c:overlay val="0"/>
    </c:legend>
    <c:plotVisOnly val="1"/>
    <c:dispBlanksAs val="gap"/>
    <c:showDLblsOverMax val="0"/>
  </c:chart>
  <c:spPr>
    <a:noFill/>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'powyżej 50 roku życia wykształc'!$B$1</c:f>
              <c:strCache>
                <c:ptCount val="1"/>
                <c:pt idx="0">
                  <c:v>2009</c:v>
                </c:pt>
              </c:strCache>
            </c:strRef>
          </c:tx>
          <c:spPr>
            <a:solidFill>
              <a:schemeClr val="bg2">
                <a:lumMod val="75000"/>
              </a:schemeClr>
            </a:solidFill>
          </c:spPr>
          <c:invertIfNegative val="0"/>
          <c:dLbls>
            <c:txPr>
              <a:bodyPr rot="-5400000" vert="horz"/>
              <a:lstStyle/>
              <a:p>
                <a:pPr>
                  <a:defRPr/>
                </a:pPr>
                <a:endParaRPr lang="pl-PL"/>
              </a:p>
            </c:txPr>
            <c:showLegendKey val="0"/>
            <c:showVal val="1"/>
            <c:showCatName val="0"/>
            <c:showSerName val="0"/>
            <c:showPercent val="0"/>
            <c:showBubbleSize val="0"/>
            <c:showLeaderLines val="0"/>
          </c:dLbls>
          <c:cat>
            <c:strRef>
              <c:f>'powyżej 50 roku życia wykształc'!$A$2:$A$6</c:f>
              <c:strCache>
                <c:ptCount val="5"/>
                <c:pt idx="0">
                  <c:v>wyższe</c:v>
                </c:pt>
                <c:pt idx="1">
                  <c:v>policealne i średnie zawodowe</c:v>
                </c:pt>
                <c:pt idx="2">
                  <c:v>średnie ogólnokształcące</c:v>
                </c:pt>
                <c:pt idx="3">
                  <c:v>zasadnicze zawodowe</c:v>
                </c:pt>
                <c:pt idx="4">
                  <c:v>gimnazjalne i poniżej</c:v>
                </c:pt>
              </c:strCache>
            </c:strRef>
          </c:cat>
          <c:val>
            <c:numRef>
              <c:f>'powyżej 50 roku życia wykształc'!$B$2:$B$6</c:f>
              <c:numCache>
                <c:formatCode>General</c:formatCode>
                <c:ptCount val="5"/>
                <c:pt idx="0">
                  <c:v>720</c:v>
                </c:pt>
                <c:pt idx="1">
                  <c:v>4457</c:v>
                </c:pt>
                <c:pt idx="2">
                  <c:v>1272</c:v>
                </c:pt>
                <c:pt idx="3">
                  <c:v>8032</c:v>
                </c:pt>
                <c:pt idx="4">
                  <c:v>9380</c:v>
                </c:pt>
              </c:numCache>
            </c:numRef>
          </c:val>
        </c:ser>
        <c:ser>
          <c:idx val="1"/>
          <c:order val="1"/>
          <c:tx>
            <c:strRef>
              <c:f>'powyżej 50 roku życia wykształc'!$C$1</c:f>
              <c:strCache>
                <c:ptCount val="1"/>
                <c:pt idx="0">
                  <c:v>2010</c:v>
                </c:pt>
              </c:strCache>
            </c:strRef>
          </c:tx>
          <c:spPr>
            <a:solidFill>
              <a:schemeClr val="bg2">
                <a:lumMod val="50000"/>
              </a:schemeClr>
            </a:solidFill>
          </c:spPr>
          <c:invertIfNegative val="0"/>
          <c:dLbls>
            <c:txPr>
              <a:bodyPr rot="-5400000" vert="horz"/>
              <a:lstStyle/>
              <a:p>
                <a:pPr>
                  <a:defRPr/>
                </a:pPr>
                <a:endParaRPr lang="pl-PL"/>
              </a:p>
            </c:txPr>
            <c:showLegendKey val="0"/>
            <c:showVal val="1"/>
            <c:showCatName val="0"/>
            <c:showSerName val="0"/>
            <c:showPercent val="0"/>
            <c:showBubbleSize val="0"/>
            <c:showLeaderLines val="0"/>
          </c:dLbls>
          <c:cat>
            <c:strRef>
              <c:f>'powyżej 50 roku życia wykształc'!$A$2:$A$6</c:f>
              <c:strCache>
                <c:ptCount val="5"/>
                <c:pt idx="0">
                  <c:v>wyższe</c:v>
                </c:pt>
                <c:pt idx="1">
                  <c:v>policealne i średnie zawodowe</c:v>
                </c:pt>
                <c:pt idx="2">
                  <c:v>średnie ogólnokształcące</c:v>
                </c:pt>
                <c:pt idx="3">
                  <c:v>zasadnicze zawodowe</c:v>
                </c:pt>
                <c:pt idx="4">
                  <c:v>gimnazjalne i poniżej</c:v>
                </c:pt>
              </c:strCache>
            </c:strRef>
          </c:cat>
          <c:val>
            <c:numRef>
              <c:f>'powyżej 50 roku życia wykształc'!$C$2:$C$6</c:f>
              <c:numCache>
                <c:formatCode>General</c:formatCode>
                <c:ptCount val="5"/>
                <c:pt idx="0">
                  <c:v>866</c:v>
                </c:pt>
                <c:pt idx="1">
                  <c:v>4867</c:v>
                </c:pt>
                <c:pt idx="2">
                  <c:v>1359</c:v>
                </c:pt>
                <c:pt idx="3">
                  <c:v>8881</c:v>
                </c:pt>
                <c:pt idx="4">
                  <c:v>9769</c:v>
                </c:pt>
              </c:numCache>
            </c:numRef>
          </c:val>
        </c:ser>
        <c:ser>
          <c:idx val="2"/>
          <c:order val="2"/>
          <c:tx>
            <c:strRef>
              <c:f>'powyżej 50 roku życia wykształc'!$D$1</c:f>
              <c:strCache>
                <c:ptCount val="1"/>
                <c:pt idx="0">
                  <c:v>2011</c:v>
                </c:pt>
              </c:strCache>
            </c:strRef>
          </c:tx>
          <c:spPr>
            <a:solidFill>
              <a:schemeClr val="bg2">
                <a:lumMod val="25000"/>
              </a:schemeClr>
            </a:solidFill>
          </c:spPr>
          <c:invertIfNegative val="0"/>
          <c:dLbls>
            <c:txPr>
              <a:bodyPr rot="-5400000" vert="horz"/>
              <a:lstStyle/>
              <a:p>
                <a:pPr>
                  <a:defRPr/>
                </a:pPr>
                <a:endParaRPr lang="pl-PL"/>
              </a:p>
            </c:txPr>
            <c:showLegendKey val="0"/>
            <c:showVal val="1"/>
            <c:showCatName val="0"/>
            <c:showSerName val="0"/>
            <c:showPercent val="0"/>
            <c:showBubbleSize val="0"/>
            <c:showLeaderLines val="0"/>
          </c:dLbls>
          <c:cat>
            <c:strRef>
              <c:f>'powyżej 50 roku życia wykształc'!$A$2:$A$6</c:f>
              <c:strCache>
                <c:ptCount val="5"/>
                <c:pt idx="0">
                  <c:v>wyższe</c:v>
                </c:pt>
                <c:pt idx="1">
                  <c:v>policealne i średnie zawodowe</c:v>
                </c:pt>
                <c:pt idx="2">
                  <c:v>średnie ogólnokształcące</c:v>
                </c:pt>
                <c:pt idx="3">
                  <c:v>zasadnicze zawodowe</c:v>
                </c:pt>
                <c:pt idx="4">
                  <c:v>gimnazjalne i poniżej</c:v>
                </c:pt>
              </c:strCache>
            </c:strRef>
          </c:cat>
          <c:val>
            <c:numRef>
              <c:f>'powyżej 50 roku życia wykształc'!$D$2:$D$6</c:f>
              <c:numCache>
                <c:formatCode>General</c:formatCode>
                <c:ptCount val="5"/>
                <c:pt idx="0">
                  <c:v>911</c:v>
                </c:pt>
                <c:pt idx="1">
                  <c:v>5073</c:v>
                </c:pt>
                <c:pt idx="2">
                  <c:v>1415</c:v>
                </c:pt>
                <c:pt idx="3">
                  <c:v>9352</c:v>
                </c:pt>
                <c:pt idx="4">
                  <c:v>9830</c:v>
                </c:pt>
              </c:numCache>
            </c:numRef>
          </c:val>
        </c:ser>
        <c:dLbls>
          <c:showLegendKey val="0"/>
          <c:showVal val="0"/>
          <c:showCatName val="0"/>
          <c:showSerName val="0"/>
          <c:showPercent val="0"/>
          <c:showBubbleSize val="0"/>
        </c:dLbls>
        <c:gapWidth val="150"/>
        <c:axId val="108324352"/>
        <c:axId val="108325888"/>
      </c:barChart>
      <c:catAx>
        <c:axId val="108324352"/>
        <c:scaling>
          <c:orientation val="minMax"/>
        </c:scaling>
        <c:delete val="0"/>
        <c:axPos val="b"/>
        <c:majorTickMark val="out"/>
        <c:minorTickMark val="none"/>
        <c:tickLblPos val="nextTo"/>
        <c:txPr>
          <a:bodyPr/>
          <a:lstStyle/>
          <a:p>
            <a:pPr>
              <a:defRPr sz="800"/>
            </a:pPr>
            <a:endParaRPr lang="pl-PL"/>
          </a:p>
        </c:txPr>
        <c:crossAx val="108325888"/>
        <c:crosses val="autoZero"/>
        <c:auto val="1"/>
        <c:lblAlgn val="ctr"/>
        <c:lblOffset val="100"/>
        <c:noMultiLvlLbl val="0"/>
      </c:catAx>
      <c:valAx>
        <c:axId val="108325888"/>
        <c:scaling>
          <c:orientation val="minMax"/>
        </c:scaling>
        <c:delete val="0"/>
        <c:axPos val="l"/>
        <c:numFmt formatCode="General" sourceLinked="1"/>
        <c:majorTickMark val="out"/>
        <c:minorTickMark val="none"/>
        <c:tickLblPos val="nextTo"/>
        <c:crossAx val="108324352"/>
        <c:crosses val="autoZero"/>
        <c:crossBetween val="between"/>
      </c:valAx>
      <c:spPr>
        <a:noFill/>
        <a:ln>
          <a:noFill/>
        </a:ln>
      </c:spPr>
    </c:plotArea>
    <c:legend>
      <c:legendPos val="b"/>
      <c:overlay val="0"/>
    </c:legend>
    <c:plotVisOnly val="1"/>
    <c:dispBlanksAs val="gap"/>
    <c:showDLblsOverMax val="0"/>
  </c:chart>
  <c:spPr>
    <a:noFill/>
    <a:ln>
      <a:noFill/>
    </a:ln>
  </c:spPr>
  <c:txPr>
    <a:bodyPr/>
    <a:lstStyle/>
    <a:p>
      <a:pPr>
        <a:defRPr sz="900"/>
      </a:pPr>
      <a:endParaRPr lang="pl-PL"/>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'powyżej 50 roku życia czas bez '!$B$1</c:f>
              <c:strCache>
                <c:ptCount val="1"/>
                <c:pt idx="0">
                  <c:v>2009</c:v>
                </c:pt>
              </c:strCache>
            </c:strRef>
          </c:tx>
          <c:spPr>
            <a:solidFill>
              <a:schemeClr val="accent2">
                <a:lumMod val="40000"/>
                <a:lumOff val="60000"/>
              </a:schemeClr>
            </a:solidFill>
          </c:spPr>
          <c:invertIfNegative val="0"/>
          <c:dLbls>
            <c:txPr>
              <a:bodyPr rot="-5400000" vert="horz"/>
              <a:lstStyle/>
              <a:p>
                <a:pPr>
                  <a:defRPr/>
                </a:pPr>
                <a:endParaRPr lang="pl-PL"/>
              </a:p>
            </c:txPr>
            <c:showLegendKey val="0"/>
            <c:showVal val="1"/>
            <c:showCatName val="0"/>
            <c:showSerName val="0"/>
            <c:showPercent val="0"/>
            <c:showBubbleSize val="0"/>
            <c:showLeaderLines val="0"/>
          </c:dLbls>
          <c:cat>
            <c:strRef>
              <c:f>'powyżej 50 roku życia czas bez '!$A$2:$A$7</c:f>
              <c:strCache>
                <c:ptCount val="6"/>
                <c:pt idx="0">
                  <c:v>do 1</c:v>
                </c:pt>
                <c:pt idx="1">
                  <c:v>od 1 do 3</c:v>
                </c:pt>
                <c:pt idx="2">
                  <c:v>od 3 do 6</c:v>
                </c:pt>
                <c:pt idx="3">
                  <c:v>od 6 do 12</c:v>
                </c:pt>
                <c:pt idx="4">
                  <c:v>od 12 do 24</c:v>
                </c:pt>
                <c:pt idx="5">
                  <c:v>pow. 24</c:v>
                </c:pt>
              </c:strCache>
            </c:strRef>
          </c:cat>
          <c:val>
            <c:numRef>
              <c:f>'powyżej 50 roku życia czas bez '!$B$2:$B$7</c:f>
              <c:numCache>
                <c:formatCode>General</c:formatCode>
                <c:ptCount val="6"/>
                <c:pt idx="0">
                  <c:v>2150</c:v>
                </c:pt>
                <c:pt idx="1">
                  <c:v>5498</c:v>
                </c:pt>
                <c:pt idx="2">
                  <c:v>4188</c:v>
                </c:pt>
                <c:pt idx="3">
                  <c:v>5105</c:v>
                </c:pt>
                <c:pt idx="4">
                  <c:v>3281</c:v>
                </c:pt>
                <c:pt idx="5">
                  <c:v>3639</c:v>
                </c:pt>
              </c:numCache>
            </c:numRef>
          </c:val>
        </c:ser>
        <c:ser>
          <c:idx val="1"/>
          <c:order val="1"/>
          <c:tx>
            <c:strRef>
              <c:f>'powyżej 50 roku życia czas bez '!$C$1</c:f>
              <c:strCache>
                <c:ptCount val="1"/>
                <c:pt idx="0">
                  <c:v>2010</c:v>
                </c:pt>
              </c:strCache>
            </c:strRef>
          </c:tx>
          <c:spPr>
            <a:solidFill>
              <a:schemeClr val="accent2">
                <a:lumMod val="60000"/>
                <a:lumOff val="40000"/>
              </a:schemeClr>
            </a:solidFill>
          </c:spPr>
          <c:invertIfNegative val="0"/>
          <c:dLbls>
            <c:txPr>
              <a:bodyPr rot="-5400000" vert="horz"/>
              <a:lstStyle/>
              <a:p>
                <a:pPr>
                  <a:defRPr/>
                </a:pPr>
                <a:endParaRPr lang="pl-PL"/>
              </a:p>
            </c:txPr>
            <c:showLegendKey val="0"/>
            <c:showVal val="1"/>
            <c:showCatName val="0"/>
            <c:showSerName val="0"/>
            <c:showPercent val="0"/>
            <c:showBubbleSize val="0"/>
            <c:showLeaderLines val="0"/>
          </c:dLbls>
          <c:cat>
            <c:strRef>
              <c:f>'powyżej 50 roku życia czas bez '!$A$2:$A$7</c:f>
              <c:strCache>
                <c:ptCount val="6"/>
                <c:pt idx="0">
                  <c:v>do 1</c:v>
                </c:pt>
                <c:pt idx="1">
                  <c:v>od 1 do 3</c:v>
                </c:pt>
                <c:pt idx="2">
                  <c:v>od 3 do 6</c:v>
                </c:pt>
                <c:pt idx="3">
                  <c:v>od 6 do 12</c:v>
                </c:pt>
                <c:pt idx="4">
                  <c:v>od 12 do 24</c:v>
                </c:pt>
                <c:pt idx="5">
                  <c:v>pow. 24</c:v>
                </c:pt>
              </c:strCache>
            </c:strRef>
          </c:cat>
          <c:val>
            <c:numRef>
              <c:f>'powyżej 50 roku życia czas bez '!$C$2:$C$7</c:f>
              <c:numCache>
                <c:formatCode>General</c:formatCode>
                <c:ptCount val="6"/>
                <c:pt idx="0">
                  <c:v>2424</c:v>
                </c:pt>
                <c:pt idx="1">
                  <c:v>5460</c:v>
                </c:pt>
                <c:pt idx="2">
                  <c:v>3900</c:v>
                </c:pt>
                <c:pt idx="3">
                  <c:v>5162</c:v>
                </c:pt>
                <c:pt idx="4">
                  <c:v>5075</c:v>
                </c:pt>
                <c:pt idx="5">
                  <c:v>3721</c:v>
                </c:pt>
              </c:numCache>
            </c:numRef>
          </c:val>
        </c:ser>
        <c:ser>
          <c:idx val="2"/>
          <c:order val="2"/>
          <c:tx>
            <c:strRef>
              <c:f>'powyżej 50 roku życia czas bez '!$D$1</c:f>
              <c:strCache>
                <c:ptCount val="1"/>
                <c:pt idx="0">
                  <c:v>2011</c:v>
                </c:pt>
              </c:strCache>
            </c:strRef>
          </c:tx>
          <c:spPr>
            <a:solidFill>
              <a:schemeClr val="accent2">
                <a:lumMod val="75000"/>
              </a:schemeClr>
            </a:solidFill>
          </c:spPr>
          <c:invertIfNegative val="0"/>
          <c:dLbls>
            <c:txPr>
              <a:bodyPr rot="-5400000" vert="horz"/>
              <a:lstStyle/>
              <a:p>
                <a:pPr>
                  <a:defRPr/>
                </a:pPr>
                <a:endParaRPr lang="pl-PL"/>
              </a:p>
            </c:txPr>
            <c:showLegendKey val="0"/>
            <c:showVal val="1"/>
            <c:showCatName val="0"/>
            <c:showSerName val="0"/>
            <c:showPercent val="0"/>
            <c:showBubbleSize val="0"/>
            <c:showLeaderLines val="0"/>
          </c:dLbls>
          <c:cat>
            <c:strRef>
              <c:f>'powyżej 50 roku życia czas bez '!$A$2:$A$7</c:f>
              <c:strCache>
                <c:ptCount val="6"/>
                <c:pt idx="0">
                  <c:v>do 1</c:v>
                </c:pt>
                <c:pt idx="1">
                  <c:v>od 1 do 3</c:v>
                </c:pt>
                <c:pt idx="2">
                  <c:v>od 3 do 6</c:v>
                </c:pt>
                <c:pt idx="3">
                  <c:v>od 6 do 12</c:v>
                </c:pt>
                <c:pt idx="4">
                  <c:v>od 12 do 24</c:v>
                </c:pt>
                <c:pt idx="5">
                  <c:v>pow. 24</c:v>
                </c:pt>
              </c:strCache>
            </c:strRef>
          </c:cat>
          <c:val>
            <c:numRef>
              <c:f>'powyżej 50 roku życia czas bez '!$D$2:$D$7</c:f>
              <c:numCache>
                <c:formatCode>General</c:formatCode>
                <c:ptCount val="6"/>
                <c:pt idx="0">
                  <c:v>2418</c:v>
                </c:pt>
                <c:pt idx="1">
                  <c:v>4702</c:v>
                </c:pt>
                <c:pt idx="2">
                  <c:v>4038</c:v>
                </c:pt>
                <c:pt idx="3">
                  <c:v>5211</c:v>
                </c:pt>
                <c:pt idx="4">
                  <c:v>5297</c:v>
                </c:pt>
                <c:pt idx="5">
                  <c:v>4915</c:v>
                </c:pt>
              </c:numCache>
            </c:numRef>
          </c:val>
        </c:ser>
        <c:dLbls>
          <c:showLegendKey val="0"/>
          <c:showVal val="0"/>
          <c:showCatName val="0"/>
          <c:showSerName val="0"/>
          <c:showPercent val="0"/>
          <c:showBubbleSize val="0"/>
        </c:dLbls>
        <c:gapWidth val="150"/>
        <c:axId val="108525824"/>
        <c:axId val="108535808"/>
      </c:barChart>
      <c:catAx>
        <c:axId val="108525824"/>
        <c:scaling>
          <c:orientation val="minMax"/>
        </c:scaling>
        <c:delete val="0"/>
        <c:axPos val="b"/>
        <c:majorTickMark val="out"/>
        <c:minorTickMark val="none"/>
        <c:tickLblPos val="nextTo"/>
        <c:txPr>
          <a:bodyPr/>
          <a:lstStyle/>
          <a:p>
            <a:pPr>
              <a:defRPr sz="800"/>
            </a:pPr>
            <a:endParaRPr lang="pl-PL"/>
          </a:p>
        </c:txPr>
        <c:crossAx val="108535808"/>
        <c:crosses val="autoZero"/>
        <c:auto val="1"/>
        <c:lblAlgn val="ctr"/>
        <c:lblOffset val="100"/>
        <c:noMultiLvlLbl val="0"/>
      </c:catAx>
      <c:valAx>
        <c:axId val="108535808"/>
        <c:scaling>
          <c:orientation val="minMax"/>
        </c:scaling>
        <c:delete val="0"/>
        <c:axPos val="l"/>
        <c:numFmt formatCode="General" sourceLinked="1"/>
        <c:majorTickMark val="out"/>
        <c:minorTickMark val="none"/>
        <c:tickLblPos val="nextTo"/>
        <c:crossAx val="108525824"/>
        <c:crosses val="autoZero"/>
        <c:crossBetween val="between"/>
      </c:valAx>
      <c:spPr>
        <a:noFill/>
        <a:ln>
          <a:noFill/>
        </a:ln>
      </c:spPr>
    </c:plotArea>
    <c:legend>
      <c:legendPos val="b"/>
      <c:overlay val="0"/>
    </c:legend>
    <c:plotVisOnly val="1"/>
    <c:dispBlanksAs val="gap"/>
    <c:showDLblsOverMax val="0"/>
  </c:chart>
  <c:spPr>
    <a:noFill/>
    <a:ln>
      <a:noFill/>
    </a:ln>
  </c:spPr>
  <c:txPr>
    <a:bodyPr/>
    <a:lstStyle/>
    <a:p>
      <a:pPr>
        <a:defRPr sz="900"/>
      </a:pPr>
      <a:endParaRPr lang="pl-PL"/>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'do 25 roku życia czas bez pracy'!$B$1</c:f>
              <c:strCache>
                <c:ptCount val="1"/>
                <c:pt idx="0">
                  <c:v>2009</c:v>
                </c:pt>
              </c:strCache>
            </c:strRef>
          </c:tx>
          <c:spPr>
            <a:solidFill>
              <a:schemeClr val="accent1">
                <a:lumMod val="40000"/>
                <a:lumOff val="60000"/>
              </a:schemeClr>
            </a:solidFill>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numFmt formatCode="#,##0" sourceLinked="0"/>
            <c:txPr>
              <a:bodyPr rot="-5400000" vert="horz"/>
              <a:lstStyle/>
              <a:p>
                <a:pPr>
                  <a:defRPr/>
                </a:pPr>
                <a:endParaRPr lang="pl-PL"/>
              </a:p>
            </c:txPr>
            <c:showLegendKey val="0"/>
            <c:showVal val="1"/>
            <c:showCatName val="0"/>
            <c:showSerName val="0"/>
            <c:showPercent val="0"/>
            <c:showBubbleSize val="0"/>
            <c:showLeaderLines val="0"/>
          </c:dLbls>
          <c:cat>
            <c:strRef>
              <c:f>'do 25 roku życia czas bez pracy'!$A$2:$A$7</c:f>
              <c:strCache>
                <c:ptCount val="6"/>
                <c:pt idx="0">
                  <c:v>do 1</c:v>
                </c:pt>
                <c:pt idx="1">
                  <c:v>od 1 do 3</c:v>
                </c:pt>
                <c:pt idx="2">
                  <c:v>od 3 do 6</c:v>
                </c:pt>
                <c:pt idx="3">
                  <c:v>od 6 do 12</c:v>
                </c:pt>
                <c:pt idx="4">
                  <c:v>od 12 do 24</c:v>
                </c:pt>
                <c:pt idx="5">
                  <c:v>pow. 24</c:v>
                </c:pt>
              </c:strCache>
            </c:strRef>
          </c:cat>
          <c:val>
            <c:numRef>
              <c:f>'do 25 roku życia czas bez pracy'!$B$2:$B$7</c:f>
              <c:numCache>
                <c:formatCode>General</c:formatCode>
                <c:ptCount val="6"/>
                <c:pt idx="0">
                  <c:v>4518</c:v>
                </c:pt>
                <c:pt idx="1">
                  <c:v>11326</c:v>
                </c:pt>
                <c:pt idx="2">
                  <c:v>9462</c:v>
                </c:pt>
                <c:pt idx="3">
                  <c:v>6045</c:v>
                </c:pt>
                <c:pt idx="4">
                  <c:v>2876</c:v>
                </c:pt>
                <c:pt idx="5">
                  <c:v>892</c:v>
                </c:pt>
              </c:numCache>
            </c:numRef>
          </c:val>
        </c:ser>
        <c:ser>
          <c:idx val="1"/>
          <c:order val="1"/>
          <c:tx>
            <c:strRef>
              <c:f>'do 25 roku życia czas bez pracy'!$C$1</c:f>
              <c:strCache>
                <c:ptCount val="1"/>
                <c:pt idx="0">
                  <c:v>2010</c:v>
                </c:pt>
              </c:strCache>
            </c:strRef>
          </c:tx>
          <c:spPr>
            <a:solidFill>
              <a:schemeClr val="accent1">
                <a:lumMod val="75000"/>
              </a:schemeClr>
            </a:solidFill>
          </c:spPr>
          <c:invertIfNegative val="0"/>
          <c:dLbls>
            <c:numFmt formatCode="#,##0" sourceLinked="0"/>
            <c:txPr>
              <a:bodyPr rot="-5400000" vert="horz"/>
              <a:lstStyle/>
              <a:p>
                <a:pPr>
                  <a:defRPr/>
                </a:pPr>
                <a:endParaRPr lang="pl-PL"/>
              </a:p>
            </c:txPr>
            <c:showLegendKey val="0"/>
            <c:showVal val="1"/>
            <c:showCatName val="0"/>
            <c:showSerName val="0"/>
            <c:showPercent val="0"/>
            <c:showBubbleSize val="0"/>
            <c:showLeaderLines val="0"/>
          </c:dLbls>
          <c:cat>
            <c:strRef>
              <c:f>'do 25 roku życia czas bez pracy'!$A$2:$A$7</c:f>
              <c:strCache>
                <c:ptCount val="6"/>
                <c:pt idx="0">
                  <c:v>do 1</c:v>
                </c:pt>
                <c:pt idx="1">
                  <c:v>od 1 do 3</c:v>
                </c:pt>
                <c:pt idx="2">
                  <c:v>od 3 do 6</c:v>
                </c:pt>
                <c:pt idx="3">
                  <c:v>od 6 do 12</c:v>
                </c:pt>
                <c:pt idx="4">
                  <c:v>od 12 do 24</c:v>
                </c:pt>
                <c:pt idx="5">
                  <c:v>pow. 24</c:v>
                </c:pt>
              </c:strCache>
            </c:strRef>
          </c:cat>
          <c:val>
            <c:numRef>
              <c:f>'do 25 roku życia czas bez pracy'!$C$2:$C$7</c:f>
              <c:numCache>
                <c:formatCode>General</c:formatCode>
                <c:ptCount val="6"/>
                <c:pt idx="0">
                  <c:v>4456</c:v>
                </c:pt>
                <c:pt idx="1">
                  <c:v>11170</c:v>
                </c:pt>
                <c:pt idx="2">
                  <c:v>8680</c:v>
                </c:pt>
                <c:pt idx="3">
                  <c:v>4998</c:v>
                </c:pt>
                <c:pt idx="4">
                  <c:v>3879</c:v>
                </c:pt>
                <c:pt idx="5">
                  <c:v>964</c:v>
                </c:pt>
              </c:numCache>
            </c:numRef>
          </c:val>
        </c:ser>
        <c:ser>
          <c:idx val="2"/>
          <c:order val="2"/>
          <c:tx>
            <c:strRef>
              <c:f>'do 25 roku życia czas bez pracy'!$D$1</c:f>
              <c:strCache>
                <c:ptCount val="1"/>
                <c:pt idx="0">
                  <c:v>2011</c:v>
                </c:pt>
              </c:strCache>
            </c:strRef>
          </c:tx>
          <c:spPr>
            <a:solidFill>
              <a:schemeClr val="tx2">
                <a:lumMod val="75000"/>
              </a:schemeClr>
            </a:solidFill>
          </c:spPr>
          <c:invertIfNegative val="0"/>
          <c:dLbls>
            <c:numFmt formatCode="#,##0" sourceLinked="0"/>
            <c:txPr>
              <a:bodyPr rot="-5400000" vert="horz"/>
              <a:lstStyle/>
              <a:p>
                <a:pPr>
                  <a:defRPr/>
                </a:pPr>
                <a:endParaRPr lang="pl-PL"/>
              </a:p>
            </c:txPr>
            <c:showLegendKey val="0"/>
            <c:showVal val="1"/>
            <c:showCatName val="0"/>
            <c:showSerName val="0"/>
            <c:showPercent val="0"/>
            <c:showBubbleSize val="0"/>
            <c:showLeaderLines val="0"/>
          </c:dLbls>
          <c:cat>
            <c:strRef>
              <c:f>'do 25 roku życia czas bez pracy'!$A$2:$A$7</c:f>
              <c:strCache>
                <c:ptCount val="6"/>
                <c:pt idx="0">
                  <c:v>do 1</c:v>
                </c:pt>
                <c:pt idx="1">
                  <c:v>od 1 do 3</c:v>
                </c:pt>
                <c:pt idx="2">
                  <c:v>od 3 do 6</c:v>
                </c:pt>
                <c:pt idx="3">
                  <c:v>od 6 do 12</c:v>
                </c:pt>
                <c:pt idx="4">
                  <c:v>od 12 do 24</c:v>
                </c:pt>
                <c:pt idx="5">
                  <c:v>pow. 24</c:v>
                </c:pt>
              </c:strCache>
            </c:strRef>
          </c:cat>
          <c:val>
            <c:numRef>
              <c:f>'do 25 roku życia czas bez pracy'!$D$2:$D$7</c:f>
              <c:numCache>
                <c:formatCode>General</c:formatCode>
                <c:ptCount val="6"/>
                <c:pt idx="0">
                  <c:v>4036</c:v>
                </c:pt>
                <c:pt idx="1">
                  <c:v>8719</c:v>
                </c:pt>
                <c:pt idx="2">
                  <c:v>8386</c:v>
                </c:pt>
                <c:pt idx="3">
                  <c:v>5192</c:v>
                </c:pt>
                <c:pt idx="4">
                  <c:v>4670</c:v>
                </c:pt>
                <c:pt idx="5">
                  <c:v>1634</c:v>
                </c:pt>
              </c:numCache>
            </c:numRef>
          </c:val>
        </c:ser>
        <c:dLbls>
          <c:showLegendKey val="0"/>
          <c:showVal val="0"/>
          <c:showCatName val="0"/>
          <c:showSerName val="0"/>
          <c:showPercent val="0"/>
          <c:showBubbleSize val="0"/>
        </c:dLbls>
        <c:gapWidth val="150"/>
        <c:axId val="108554496"/>
        <c:axId val="108572672"/>
      </c:barChart>
      <c:catAx>
        <c:axId val="108554496"/>
        <c:scaling>
          <c:orientation val="minMax"/>
        </c:scaling>
        <c:delete val="0"/>
        <c:axPos val="b"/>
        <c:majorTickMark val="out"/>
        <c:minorTickMark val="none"/>
        <c:tickLblPos val="nextTo"/>
        <c:txPr>
          <a:bodyPr rot="0" anchor="t" anchorCtr="1"/>
          <a:lstStyle/>
          <a:p>
            <a:pPr>
              <a:defRPr/>
            </a:pPr>
            <a:endParaRPr lang="pl-PL"/>
          </a:p>
        </c:txPr>
        <c:crossAx val="108572672"/>
        <c:crosses val="autoZero"/>
        <c:auto val="1"/>
        <c:lblAlgn val="ctr"/>
        <c:lblOffset val="100"/>
        <c:noMultiLvlLbl val="0"/>
      </c:catAx>
      <c:valAx>
        <c:axId val="108572672"/>
        <c:scaling>
          <c:orientation val="minMax"/>
        </c:scaling>
        <c:delete val="0"/>
        <c:axPos val="l"/>
        <c:numFmt formatCode="General" sourceLinked="1"/>
        <c:majorTickMark val="out"/>
        <c:minorTickMark val="none"/>
        <c:tickLblPos val="nextTo"/>
        <c:crossAx val="108554496"/>
        <c:crosses val="autoZero"/>
        <c:crossBetween val="between"/>
      </c:valAx>
      <c:spPr>
        <a:noFill/>
        <a:ln>
          <a:noFill/>
        </a:ln>
      </c:spPr>
    </c:plotArea>
    <c:legend>
      <c:legendPos val="b"/>
      <c:overlay val="0"/>
    </c:legend>
    <c:plotVisOnly val="1"/>
    <c:dispBlanksAs val="gap"/>
    <c:showDLblsOverMax val="0"/>
  </c:chart>
  <c:spPr>
    <a:noFill/>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Arkusz2!$B$1</c:f>
              <c:strCache>
                <c:ptCount val="1"/>
                <c:pt idx="0">
                  <c:v>2009</c:v>
                </c:pt>
              </c:strCache>
            </c:strRef>
          </c:tx>
          <c:spPr>
            <a:solidFill>
              <a:srgbClr val="FF99CC"/>
            </a:solidFill>
          </c:spPr>
          <c:invertIfNegative val="0"/>
          <c:dLbls>
            <c:txPr>
              <a:bodyPr rot="-5400000" vert="horz"/>
              <a:lstStyle/>
              <a:p>
                <a:pPr>
                  <a:defRPr/>
                </a:pPr>
                <a:endParaRPr lang="pl-PL"/>
              </a:p>
            </c:txPr>
            <c:showLegendKey val="0"/>
            <c:showVal val="1"/>
            <c:showCatName val="0"/>
            <c:showSerName val="0"/>
            <c:showPercent val="0"/>
            <c:showBubbleSize val="0"/>
            <c:showLeaderLines val="0"/>
          </c:dLbls>
          <c:cat>
            <c:strRef>
              <c:f>Arkusz2!$A$2:$A$5</c:f>
              <c:strCache>
                <c:ptCount val="4"/>
                <c:pt idx="0">
                  <c:v>do 1 roku</c:v>
                </c:pt>
                <c:pt idx="1">
                  <c:v>1-5 lat</c:v>
                </c:pt>
                <c:pt idx="2">
                  <c:v>5-10 lat</c:v>
                </c:pt>
                <c:pt idx="3">
                  <c:v>bez stażu</c:v>
                </c:pt>
              </c:strCache>
            </c:strRef>
          </c:cat>
          <c:val>
            <c:numRef>
              <c:f>Arkusz2!$B$2:$B$5</c:f>
              <c:numCache>
                <c:formatCode>#,##0</c:formatCode>
                <c:ptCount val="4"/>
                <c:pt idx="0">
                  <c:v>7918</c:v>
                </c:pt>
                <c:pt idx="1">
                  <c:v>11648</c:v>
                </c:pt>
                <c:pt idx="2" formatCode="General">
                  <c:v>868</c:v>
                </c:pt>
                <c:pt idx="3">
                  <c:v>14685</c:v>
                </c:pt>
              </c:numCache>
            </c:numRef>
          </c:val>
        </c:ser>
        <c:ser>
          <c:idx val="1"/>
          <c:order val="1"/>
          <c:tx>
            <c:strRef>
              <c:f>Arkusz2!$C$1</c:f>
              <c:strCache>
                <c:ptCount val="1"/>
                <c:pt idx="0">
                  <c:v>2010</c:v>
                </c:pt>
              </c:strCache>
            </c:strRef>
          </c:tx>
          <c:spPr>
            <a:solidFill>
              <a:srgbClr val="CC00FF"/>
            </a:solidFill>
          </c:spPr>
          <c:invertIfNegative val="0"/>
          <c:dLbls>
            <c:txPr>
              <a:bodyPr rot="-5400000" vert="horz"/>
              <a:lstStyle/>
              <a:p>
                <a:pPr>
                  <a:defRPr/>
                </a:pPr>
                <a:endParaRPr lang="pl-PL"/>
              </a:p>
            </c:txPr>
            <c:showLegendKey val="0"/>
            <c:showVal val="1"/>
            <c:showCatName val="0"/>
            <c:showSerName val="0"/>
            <c:showPercent val="0"/>
            <c:showBubbleSize val="0"/>
            <c:showLeaderLines val="0"/>
          </c:dLbls>
          <c:cat>
            <c:strRef>
              <c:f>Arkusz2!$A$2:$A$5</c:f>
              <c:strCache>
                <c:ptCount val="4"/>
                <c:pt idx="0">
                  <c:v>do 1 roku</c:v>
                </c:pt>
                <c:pt idx="1">
                  <c:v>1-5 lat</c:v>
                </c:pt>
                <c:pt idx="2">
                  <c:v>5-10 lat</c:v>
                </c:pt>
                <c:pt idx="3">
                  <c:v>bez stażu</c:v>
                </c:pt>
              </c:strCache>
            </c:strRef>
          </c:cat>
          <c:val>
            <c:numRef>
              <c:f>Arkusz2!$C$2:$C$5</c:f>
              <c:numCache>
                <c:formatCode>#,##0</c:formatCode>
                <c:ptCount val="4"/>
                <c:pt idx="0">
                  <c:v>7583</c:v>
                </c:pt>
                <c:pt idx="1">
                  <c:v>11420</c:v>
                </c:pt>
                <c:pt idx="2" formatCode="General">
                  <c:v>605</c:v>
                </c:pt>
                <c:pt idx="3">
                  <c:v>14539</c:v>
                </c:pt>
              </c:numCache>
            </c:numRef>
          </c:val>
        </c:ser>
        <c:ser>
          <c:idx val="2"/>
          <c:order val="2"/>
          <c:tx>
            <c:strRef>
              <c:f>Arkusz2!$D$1</c:f>
              <c:strCache>
                <c:ptCount val="1"/>
                <c:pt idx="0">
                  <c:v>2011</c:v>
                </c:pt>
              </c:strCache>
            </c:strRef>
          </c:tx>
          <c:spPr>
            <a:solidFill>
              <a:srgbClr val="660066"/>
            </a:solidFill>
          </c:spPr>
          <c:invertIfNegative val="0"/>
          <c:dLbls>
            <c:txPr>
              <a:bodyPr rot="-5400000" vert="horz"/>
              <a:lstStyle/>
              <a:p>
                <a:pPr>
                  <a:defRPr/>
                </a:pPr>
                <a:endParaRPr lang="pl-PL"/>
              </a:p>
            </c:txPr>
            <c:showLegendKey val="0"/>
            <c:showVal val="1"/>
            <c:showCatName val="0"/>
            <c:showSerName val="0"/>
            <c:showPercent val="0"/>
            <c:showBubbleSize val="0"/>
            <c:showLeaderLines val="0"/>
          </c:dLbls>
          <c:cat>
            <c:strRef>
              <c:f>Arkusz2!$A$2:$A$5</c:f>
              <c:strCache>
                <c:ptCount val="4"/>
                <c:pt idx="0">
                  <c:v>do 1 roku</c:v>
                </c:pt>
                <c:pt idx="1">
                  <c:v>1-5 lat</c:v>
                </c:pt>
                <c:pt idx="2">
                  <c:v>5-10 lat</c:v>
                </c:pt>
                <c:pt idx="3">
                  <c:v>bez stażu</c:v>
                </c:pt>
              </c:strCache>
            </c:strRef>
          </c:cat>
          <c:val>
            <c:numRef>
              <c:f>Arkusz2!$D$2:$D$5</c:f>
              <c:numCache>
                <c:formatCode>#,##0</c:formatCode>
                <c:ptCount val="4"/>
                <c:pt idx="0">
                  <c:v>7373</c:v>
                </c:pt>
                <c:pt idx="1">
                  <c:v>11217</c:v>
                </c:pt>
                <c:pt idx="2" formatCode="General">
                  <c:v>536</c:v>
                </c:pt>
                <c:pt idx="3">
                  <c:v>13511</c:v>
                </c:pt>
              </c:numCache>
            </c:numRef>
          </c:val>
        </c:ser>
        <c:dLbls>
          <c:showLegendKey val="0"/>
          <c:showVal val="0"/>
          <c:showCatName val="0"/>
          <c:showSerName val="0"/>
          <c:showPercent val="0"/>
          <c:showBubbleSize val="0"/>
        </c:dLbls>
        <c:gapWidth val="150"/>
        <c:axId val="108660992"/>
        <c:axId val="108670976"/>
      </c:barChart>
      <c:catAx>
        <c:axId val="108660992"/>
        <c:scaling>
          <c:orientation val="minMax"/>
        </c:scaling>
        <c:delete val="0"/>
        <c:axPos val="b"/>
        <c:majorTickMark val="out"/>
        <c:minorTickMark val="none"/>
        <c:tickLblPos val="nextTo"/>
        <c:crossAx val="108670976"/>
        <c:crosses val="autoZero"/>
        <c:auto val="1"/>
        <c:lblAlgn val="ctr"/>
        <c:lblOffset val="100"/>
        <c:noMultiLvlLbl val="0"/>
      </c:catAx>
      <c:valAx>
        <c:axId val="108670976"/>
        <c:scaling>
          <c:orientation val="minMax"/>
        </c:scaling>
        <c:delete val="0"/>
        <c:axPos val="l"/>
        <c:numFmt formatCode="#,##0" sourceLinked="1"/>
        <c:majorTickMark val="out"/>
        <c:minorTickMark val="none"/>
        <c:tickLblPos val="nextTo"/>
        <c:crossAx val="108660992"/>
        <c:crosses val="autoZero"/>
        <c:crossBetween val="between"/>
      </c:valAx>
      <c:spPr>
        <a:noFill/>
        <a:ln>
          <a:noFill/>
        </a:ln>
      </c:spPr>
    </c:plotArea>
    <c:legend>
      <c:legendPos val="b"/>
      <c:overlay val="0"/>
    </c:legend>
    <c:plotVisOnly val="1"/>
    <c:dispBlanksAs val="gap"/>
    <c:showDLblsOverMax val="0"/>
  </c:chart>
  <c:spPr>
    <a:noFill/>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Arkusz3!$B$1</c:f>
              <c:strCache>
                <c:ptCount val="1"/>
                <c:pt idx="0">
                  <c:v>2009</c:v>
                </c:pt>
              </c:strCache>
            </c:strRef>
          </c:tx>
          <c:spPr>
            <a:solidFill>
              <a:srgbClr val="CCFF66"/>
            </a:solidFill>
          </c:spPr>
          <c:invertIfNegative val="0"/>
          <c:dLbls>
            <c:txPr>
              <a:bodyPr rot="-5400000" vert="horz"/>
              <a:lstStyle/>
              <a:p>
                <a:pPr>
                  <a:defRPr/>
                </a:pPr>
                <a:endParaRPr lang="pl-PL"/>
              </a:p>
            </c:txPr>
            <c:showLegendKey val="0"/>
            <c:showVal val="1"/>
            <c:showCatName val="0"/>
            <c:showSerName val="0"/>
            <c:showPercent val="0"/>
            <c:showBubbleSize val="0"/>
            <c:showLeaderLines val="0"/>
          </c:dLbls>
          <c:cat>
            <c:strRef>
              <c:f>Arkusz3!$A$2:$A$8</c:f>
              <c:strCache>
                <c:ptCount val="7"/>
                <c:pt idx="0">
                  <c:v>do 1 roku</c:v>
                </c:pt>
                <c:pt idx="1">
                  <c:v>1-5 lat</c:v>
                </c:pt>
                <c:pt idx="2">
                  <c:v>5-10 lat</c:v>
                </c:pt>
                <c:pt idx="3">
                  <c:v>10-20 lat</c:v>
                </c:pt>
                <c:pt idx="4">
                  <c:v>20-30 lat</c:v>
                </c:pt>
                <c:pt idx="5">
                  <c:v>30 lat i więcej</c:v>
                </c:pt>
                <c:pt idx="6">
                  <c:v>bez stażu</c:v>
                </c:pt>
              </c:strCache>
            </c:strRef>
          </c:cat>
          <c:val>
            <c:numRef>
              <c:f>Arkusz3!$B$2:$B$8</c:f>
              <c:numCache>
                <c:formatCode>#,##0</c:formatCode>
                <c:ptCount val="7"/>
                <c:pt idx="0">
                  <c:v>1379</c:v>
                </c:pt>
                <c:pt idx="1">
                  <c:v>1469</c:v>
                </c:pt>
                <c:pt idx="2">
                  <c:v>1633</c:v>
                </c:pt>
                <c:pt idx="3">
                  <c:v>5209</c:v>
                </c:pt>
                <c:pt idx="4">
                  <c:v>8703</c:v>
                </c:pt>
                <c:pt idx="5">
                  <c:v>4440</c:v>
                </c:pt>
                <c:pt idx="6">
                  <c:v>1028</c:v>
                </c:pt>
              </c:numCache>
            </c:numRef>
          </c:val>
        </c:ser>
        <c:ser>
          <c:idx val="1"/>
          <c:order val="1"/>
          <c:tx>
            <c:strRef>
              <c:f>Arkusz3!$C$1</c:f>
              <c:strCache>
                <c:ptCount val="1"/>
                <c:pt idx="0">
                  <c:v>2010</c:v>
                </c:pt>
              </c:strCache>
            </c:strRef>
          </c:tx>
          <c:spPr>
            <a:solidFill>
              <a:srgbClr val="33CC33"/>
            </a:solidFill>
          </c:spPr>
          <c:invertIfNegative val="0"/>
          <c:dLbls>
            <c:txPr>
              <a:bodyPr rot="-5400000" vert="horz"/>
              <a:lstStyle/>
              <a:p>
                <a:pPr>
                  <a:defRPr/>
                </a:pPr>
                <a:endParaRPr lang="pl-PL"/>
              </a:p>
            </c:txPr>
            <c:showLegendKey val="0"/>
            <c:showVal val="1"/>
            <c:showCatName val="0"/>
            <c:showSerName val="0"/>
            <c:showPercent val="0"/>
            <c:showBubbleSize val="0"/>
            <c:showLeaderLines val="0"/>
          </c:dLbls>
          <c:cat>
            <c:strRef>
              <c:f>Arkusz3!$A$2:$A$8</c:f>
              <c:strCache>
                <c:ptCount val="7"/>
                <c:pt idx="0">
                  <c:v>do 1 roku</c:v>
                </c:pt>
                <c:pt idx="1">
                  <c:v>1-5 lat</c:v>
                </c:pt>
                <c:pt idx="2">
                  <c:v>5-10 lat</c:v>
                </c:pt>
                <c:pt idx="3">
                  <c:v>10-20 lat</c:v>
                </c:pt>
                <c:pt idx="4">
                  <c:v>20-30 lat</c:v>
                </c:pt>
                <c:pt idx="5">
                  <c:v>30 lat i więcej</c:v>
                </c:pt>
                <c:pt idx="6">
                  <c:v>bez stażu</c:v>
                </c:pt>
              </c:strCache>
            </c:strRef>
          </c:cat>
          <c:val>
            <c:numRef>
              <c:f>Arkusz3!$C$2:$C$8</c:f>
              <c:numCache>
                <c:formatCode>#,##0</c:formatCode>
                <c:ptCount val="7"/>
                <c:pt idx="0">
                  <c:v>1448</c:v>
                </c:pt>
                <c:pt idx="1">
                  <c:v>1574</c:v>
                </c:pt>
                <c:pt idx="2">
                  <c:v>1804</c:v>
                </c:pt>
                <c:pt idx="3">
                  <c:v>5725</c:v>
                </c:pt>
                <c:pt idx="4">
                  <c:v>9429</c:v>
                </c:pt>
                <c:pt idx="5">
                  <c:v>4707</c:v>
                </c:pt>
                <c:pt idx="6">
                  <c:v>1055</c:v>
                </c:pt>
              </c:numCache>
            </c:numRef>
          </c:val>
        </c:ser>
        <c:ser>
          <c:idx val="2"/>
          <c:order val="2"/>
          <c:tx>
            <c:strRef>
              <c:f>Arkusz3!$D$1</c:f>
              <c:strCache>
                <c:ptCount val="1"/>
                <c:pt idx="0">
                  <c:v>2011</c:v>
                </c:pt>
              </c:strCache>
            </c:strRef>
          </c:tx>
          <c:spPr>
            <a:solidFill>
              <a:srgbClr val="008000"/>
            </a:solidFill>
          </c:spPr>
          <c:invertIfNegative val="0"/>
          <c:dLbls>
            <c:txPr>
              <a:bodyPr rot="-5400000" vert="horz"/>
              <a:lstStyle/>
              <a:p>
                <a:pPr>
                  <a:defRPr/>
                </a:pPr>
                <a:endParaRPr lang="pl-PL"/>
              </a:p>
            </c:txPr>
            <c:showLegendKey val="0"/>
            <c:showVal val="1"/>
            <c:showCatName val="0"/>
            <c:showSerName val="0"/>
            <c:showPercent val="0"/>
            <c:showBubbleSize val="0"/>
            <c:showLeaderLines val="0"/>
          </c:dLbls>
          <c:cat>
            <c:strRef>
              <c:f>Arkusz3!$A$2:$A$8</c:f>
              <c:strCache>
                <c:ptCount val="7"/>
                <c:pt idx="0">
                  <c:v>do 1 roku</c:v>
                </c:pt>
                <c:pt idx="1">
                  <c:v>1-5 lat</c:v>
                </c:pt>
                <c:pt idx="2">
                  <c:v>5-10 lat</c:v>
                </c:pt>
                <c:pt idx="3">
                  <c:v>10-20 lat</c:v>
                </c:pt>
                <c:pt idx="4">
                  <c:v>20-30 lat</c:v>
                </c:pt>
                <c:pt idx="5">
                  <c:v>30 lat i więcej</c:v>
                </c:pt>
                <c:pt idx="6">
                  <c:v>bez stażu</c:v>
                </c:pt>
              </c:strCache>
            </c:strRef>
          </c:cat>
          <c:val>
            <c:numRef>
              <c:f>Arkusz3!$D$2:$D$8</c:f>
              <c:numCache>
                <c:formatCode>#,##0</c:formatCode>
                <c:ptCount val="7"/>
                <c:pt idx="0">
                  <c:v>1402</c:v>
                </c:pt>
                <c:pt idx="1">
                  <c:v>1645</c:v>
                </c:pt>
                <c:pt idx="2">
                  <c:v>1904</c:v>
                </c:pt>
                <c:pt idx="3">
                  <c:v>6013</c:v>
                </c:pt>
                <c:pt idx="4">
                  <c:v>9569</c:v>
                </c:pt>
                <c:pt idx="5">
                  <c:v>4981</c:v>
                </c:pt>
                <c:pt idx="6">
                  <c:v>1067</c:v>
                </c:pt>
              </c:numCache>
            </c:numRef>
          </c:val>
        </c:ser>
        <c:dLbls>
          <c:showLegendKey val="0"/>
          <c:showVal val="0"/>
          <c:showCatName val="0"/>
          <c:showSerName val="0"/>
          <c:showPercent val="0"/>
          <c:showBubbleSize val="0"/>
        </c:dLbls>
        <c:gapWidth val="150"/>
        <c:axId val="110926080"/>
        <c:axId val="110931968"/>
      </c:barChart>
      <c:catAx>
        <c:axId val="110926080"/>
        <c:scaling>
          <c:orientation val="minMax"/>
        </c:scaling>
        <c:delete val="0"/>
        <c:axPos val="b"/>
        <c:majorTickMark val="out"/>
        <c:minorTickMark val="none"/>
        <c:tickLblPos val="nextTo"/>
        <c:crossAx val="110931968"/>
        <c:crosses val="autoZero"/>
        <c:auto val="1"/>
        <c:lblAlgn val="ctr"/>
        <c:lblOffset val="100"/>
        <c:noMultiLvlLbl val="0"/>
      </c:catAx>
      <c:valAx>
        <c:axId val="110931968"/>
        <c:scaling>
          <c:orientation val="minMax"/>
        </c:scaling>
        <c:delete val="0"/>
        <c:axPos val="l"/>
        <c:numFmt formatCode="#,##0" sourceLinked="1"/>
        <c:majorTickMark val="out"/>
        <c:minorTickMark val="none"/>
        <c:tickLblPos val="nextTo"/>
        <c:crossAx val="110926080"/>
        <c:crosses val="autoZero"/>
        <c:crossBetween val="between"/>
      </c:valAx>
      <c:spPr>
        <a:noFill/>
        <a:ln>
          <a:noFill/>
        </a:ln>
      </c:spPr>
    </c:plotArea>
    <c:legend>
      <c:legendPos val="b"/>
      <c:overlay val="0"/>
    </c:legend>
    <c:plotVisOnly val="1"/>
    <c:dispBlanksAs val="gap"/>
    <c:showDLblsOverMax val="0"/>
  </c:chart>
  <c:spPr>
    <a:noFill/>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aktywizacja!$B$3</c:f>
              <c:strCache>
                <c:ptCount val="1"/>
                <c:pt idx="0">
                  <c:v>ogółem</c:v>
                </c:pt>
              </c:strCache>
            </c:strRef>
          </c:tx>
          <c:spPr>
            <a:solidFill>
              <a:srgbClr val="0070C0"/>
            </a:solidFill>
          </c:spPr>
          <c:invertIfNegative val="0"/>
          <c:dLbls>
            <c:numFmt formatCode="#,##0" sourceLinked="0"/>
            <c:showLegendKey val="0"/>
            <c:showVal val="1"/>
            <c:showCatName val="0"/>
            <c:showSerName val="0"/>
            <c:showPercent val="0"/>
            <c:showBubbleSize val="0"/>
            <c:showLeaderLines val="0"/>
          </c:dLbls>
          <c:cat>
            <c:numRef>
              <c:f>aktywizacja!$C$2:$E$2</c:f>
              <c:numCache>
                <c:formatCode>General</c:formatCode>
                <c:ptCount val="3"/>
                <c:pt idx="0">
                  <c:v>2009</c:v>
                </c:pt>
                <c:pt idx="1">
                  <c:v>2010</c:v>
                </c:pt>
                <c:pt idx="2">
                  <c:v>2011</c:v>
                </c:pt>
              </c:numCache>
            </c:numRef>
          </c:cat>
          <c:val>
            <c:numRef>
              <c:f>aktywizacja!$C$3:$E$3</c:f>
              <c:numCache>
                <c:formatCode>General</c:formatCode>
                <c:ptCount val="3"/>
                <c:pt idx="0">
                  <c:v>42913</c:v>
                </c:pt>
                <c:pt idx="1">
                  <c:v>54059</c:v>
                </c:pt>
                <c:pt idx="2">
                  <c:v>21455</c:v>
                </c:pt>
              </c:numCache>
            </c:numRef>
          </c:val>
        </c:ser>
        <c:ser>
          <c:idx val="1"/>
          <c:order val="1"/>
          <c:tx>
            <c:strRef>
              <c:f>aktywizacja!$B$4</c:f>
              <c:strCache>
                <c:ptCount val="1"/>
                <c:pt idx="0">
                  <c:v>poniżej 25 roku życia</c:v>
                </c:pt>
              </c:strCache>
            </c:strRef>
          </c:tx>
          <c:spPr>
            <a:solidFill>
              <a:srgbClr val="C00000"/>
            </a:solidFill>
          </c:spPr>
          <c:invertIfNegative val="0"/>
          <c:dLbls>
            <c:numFmt formatCode="#,##0" sourceLinked="0"/>
            <c:showLegendKey val="0"/>
            <c:showVal val="1"/>
            <c:showCatName val="0"/>
            <c:showSerName val="0"/>
            <c:showPercent val="0"/>
            <c:showBubbleSize val="0"/>
            <c:showLeaderLines val="0"/>
          </c:dLbls>
          <c:cat>
            <c:numRef>
              <c:f>aktywizacja!$C$2:$E$2</c:f>
              <c:numCache>
                <c:formatCode>General</c:formatCode>
                <c:ptCount val="3"/>
                <c:pt idx="0">
                  <c:v>2009</c:v>
                </c:pt>
                <c:pt idx="1">
                  <c:v>2010</c:v>
                </c:pt>
                <c:pt idx="2">
                  <c:v>2011</c:v>
                </c:pt>
              </c:numCache>
            </c:numRef>
          </c:cat>
          <c:val>
            <c:numRef>
              <c:f>aktywizacja!$C$4:$E$4</c:f>
              <c:numCache>
                <c:formatCode>General</c:formatCode>
                <c:ptCount val="3"/>
                <c:pt idx="0">
                  <c:v>18231</c:v>
                </c:pt>
                <c:pt idx="1">
                  <c:v>22734</c:v>
                </c:pt>
                <c:pt idx="2">
                  <c:v>8167</c:v>
                </c:pt>
              </c:numCache>
            </c:numRef>
          </c:val>
        </c:ser>
        <c:ser>
          <c:idx val="2"/>
          <c:order val="2"/>
          <c:tx>
            <c:strRef>
              <c:f>aktywizacja!$B$5</c:f>
              <c:strCache>
                <c:ptCount val="1"/>
                <c:pt idx="0">
                  <c:v>powyżej 50 roku życia</c:v>
                </c:pt>
              </c:strCache>
            </c:strRef>
          </c:tx>
          <c:spPr>
            <a:solidFill>
              <a:srgbClr val="7030A0"/>
            </a:solidFill>
          </c:spPr>
          <c:invertIfNegative val="0"/>
          <c:dLbls>
            <c:numFmt formatCode="#,##0" sourceLinked="0"/>
            <c:showLegendKey val="0"/>
            <c:showVal val="1"/>
            <c:showCatName val="0"/>
            <c:showSerName val="0"/>
            <c:showPercent val="0"/>
            <c:showBubbleSize val="0"/>
            <c:showLeaderLines val="0"/>
          </c:dLbls>
          <c:cat>
            <c:numRef>
              <c:f>aktywizacja!$C$2:$E$2</c:f>
              <c:numCache>
                <c:formatCode>General</c:formatCode>
                <c:ptCount val="3"/>
                <c:pt idx="0">
                  <c:v>2009</c:v>
                </c:pt>
                <c:pt idx="1">
                  <c:v>2010</c:v>
                </c:pt>
                <c:pt idx="2">
                  <c:v>2011</c:v>
                </c:pt>
              </c:numCache>
            </c:numRef>
          </c:cat>
          <c:val>
            <c:numRef>
              <c:f>aktywizacja!$C$5:$E$5</c:f>
              <c:numCache>
                <c:formatCode>General</c:formatCode>
                <c:ptCount val="3"/>
                <c:pt idx="0">
                  <c:v>5067</c:v>
                </c:pt>
                <c:pt idx="1">
                  <c:v>6175</c:v>
                </c:pt>
                <c:pt idx="2">
                  <c:v>3250</c:v>
                </c:pt>
              </c:numCache>
            </c:numRef>
          </c:val>
        </c:ser>
        <c:dLbls>
          <c:showLegendKey val="0"/>
          <c:showVal val="0"/>
          <c:showCatName val="0"/>
          <c:showSerName val="0"/>
          <c:showPercent val="0"/>
          <c:showBubbleSize val="0"/>
        </c:dLbls>
        <c:gapWidth val="150"/>
        <c:axId val="111298432"/>
        <c:axId val="111299968"/>
      </c:barChart>
      <c:catAx>
        <c:axId val="111298432"/>
        <c:scaling>
          <c:orientation val="minMax"/>
        </c:scaling>
        <c:delete val="0"/>
        <c:axPos val="b"/>
        <c:numFmt formatCode="General" sourceLinked="1"/>
        <c:majorTickMark val="out"/>
        <c:minorTickMark val="none"/>
        <c:tickLblPos val="nextTo"/>
        <c:crossAx val="111299968"/>
        <c:crosses val="autoZero"/>
        <c:auto val="1"/>
        <c:lblAlgn val="ctr"/>
        <c:lblOffset val="100"/>
        <c:noMultiLvlLbl val="0"/>
      </c:catAx>
      <c:valAx>
        <c:axId val="111299968"/>
        <c:scaling>
          <c:orientation val="minMax"/>
        </c:scaling>
        <c:delete val="0"/>
        <c:axPos val="l"/>
        <c:numFmt formatCode="#,##0" sourceLinked="0"/>
        <c:majorTickMark val="out"/>
        <c:minorTickMark val="none"/>
        <c:tickLblPos val="nextTo"/>
        <c:crossAx val="111298432"/>
        <c:crosses val="autoZero"/>
        <c:crossBetween val="between"/>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Arkusz2!$B$1</c:f>
              <c:strCache>
                <c:ptCount val="1"/>
                <c:pt idx="0">
                  <c:v>2009</c:v>
                </c:pt>
              </c:strCache>
            </c:strRef>
          </c:tx>
          <c:spPr>
            <a:solidFill>
              <a:schemeClr val="accent5">
                <a:lumMod val="40000"/>
                <a:lumOff val="60000"/>
              </a:schemeClr>
            </a:solidFill>
          </c:spPr>
          <c:invertIfNegative val="0"/>
          <c:dLbls>
            <c:numFmt formatCode="#,##0" sourceLinked="0"/>
            <c:txPr>
              <a:bodyPr rot="-5400000" vert="horz"/>
              <a:lstStyle/>
              <a:p>
                <a:pPr>
                  <a:defRPr/>
                </a:pPr>
                <a:endParaRPr lang="pl-PL"/>
              </a:p>
            </c:txPr>
            <c:showLegendKey val="0"/>
            <c:showVal val="1"/>
            <c:showCatName val="0"/>
            <c:showSerName val="0"/>
            <c:showPercent val="0"/>
            <c:showBubbleSize val="0"/>
            <c:showLeaderLines val="0"/>
          </c:dLbls>
          <c:cat>
            <c:strRef>
              <c:f>Arkusz2!$A$2:$A$8</c:f>
              <c:strCache>
                <c:ptCount val="7"/>
                <c:pt idx="0">
                  <c:v>staże</c:v>
                </c:pt>
                <c:pt idx="1">
                  <c:v>szkolenia</c:v>
                </c:pt>
                <c:pt idx="2">
                  <c:v>doposażenie/ wyposażenie miejsca pracy</c:v>
                </c:pt>
                <c:pt idx="3">
                  <c:v>rozpoczęcie działalności gospodarczej</c:v>
                </c:pt>
                <c:pt idx="4">
                  <c:v>prace interwencyjne</c:v>
                </c:pt>
                <c:pt idx="5">
                  <c:v>roboty publiczne</c:v>
                </c:pt>
                <c:pt idx="6">
                  <c:v>inne*</c:v>
                </c:pt>
              </c:strCache>
            </c:strRef>
          </c:cat>
          <c:val>
            <c:numRef>
              <c:f>Arkusz2!$B$2:$B$8</c:f>
              <c:numCache>
                <c:formatCode>General</c:formatCode>
                <c:ptCount val="7"/>
                <c:pt idx="0">
                  <c:v>11670</c:v>
                </c:pt>
                <c:pt idx="1">
                  <c:v>2922</c:v>
                </c:pt>
                <c:pt idx="2">
                  <c:v>1252</c:v>
                </c:pt>
                <c:pt idx="3">
                  <c:v>1249</c:v>
                </c:pt>
                <c:pt idx="4">
                  <c:v>637</c:v>
                </c:pt>
                <c:pt idx="5">
                  <c:v>240</c:v>
                </c:pt>
                <c:pt idx="6">
                  <c:v>261</c:v>
                </c:pt>
              </c:numCache>
            </c:numRef>
          </c:val>
        </c:ser>
        <c:ser>
          <c:idx val="1"/>
          <c:order val="1"/>
          <c:tx>
            <c:strRef>
              <c:f>Arkusz2!$C$1</c:f>
              <c:strCache>
                <c:ptCount val="1"/>
                <c:pt idx="0">
                  <c:v>2010</c:v>
                </c:pt>
              </c:strCache>
            </c:strRef>
          </c:tx>
          <c:spPr>
            <a:solidFill>
              <a:schemeClr val="accent5"/>
            </a:solidFill>
          </c:spPr>
          <c:invertIfNegative val="0"/>
          <c:dLbls>
            <c:numFmt formatCode="#,##0" sourceLinked="0"/>
            <c:txPr>
              <a:bodyPr rot="-5400000" vert="horz"/>
              <a:lstStyle/>
              <a:p>
                <a:pPr>
                  <a:defRPr/>
                </a:pPr>
                <a:endParaRPr lang="pl-PL"/>
              </a:p>
            </c:txPr>
            <c:showLegendKey val="0"/>
            <c:showVal val="1"/>
            <c:showCatName val="0"/>
            <c:showSerName val="0"/>
            <c:showPercent val="0"/>
            <c:showBubbleSize val="0"/>
            <c:showLeaderLines val="0"/>
          </c:dLbls>
          <c:cat>
            <c:strRef>
              <c:f>Arkusz2!$A$2:$A$8</c:f>
              <c:strCache>
                <c:ptCount val="7"/>
                <c:pt idx="0">
                  <c:v>staże</c:v>
                </c:pt>
                <c:pt idx="1">
                  <c:v>szkolenia</c:v>
                </c:pt>
                <c:pt idx="2">
                  <c:v>doposażenie/ wyposażenie miejsca pracy</c:v>
                </c:pt>
                <c:pt idx="3">
                  <c:v>rozpoczęcie działalności gospodarczej</c:v>
                </c:pt>
                <c:pt idx="4">
                  <c:v>prace interwencyjne</c:v>
                </c:pt>
                <c:pt idx="5">
                  <c:v>roboty publiczne</c:v>
                </c:pt>
                <c:pt idx="6">
                  <c:v>inne*</c:v>
                </c:pt>
              </c:strCache>
            </c:strRef>
          </c:cat>
          <c:val>
            <c:numRef>
              <c:f>Arkusz2!$C$2:$C$8</c:f>
              <c:numCache>
                <c:formatCode>General</c:formatCode>
                <c:ptCount val="7"/>
                <c:pt idx="0">
                  <c:v>13981</c:v>
                </c:pt>
                <c:pt idx="1">
                  <c:v>4179</c:v>
                </c:pt>
                <c:pt idx="2">
                  <c:v>1778</c:v>
                </c:pt>
                <c:pt idx="3">
                  <c:v>1554</c:v>
                </c:pt>
                <c:pt idx="4">
                  <c:v>690</c:v>
                </c:pt>
                <c:pt idx="5">
                  <c:v>328</c:v>
                </c:pt>
                <c:pt idx="6">
                  <c:v>224</c:v>
                </c:pt>
              </c:numCache>
            </c:numRef>
          </c:val>
        </c:ser>
        <c:ser>
          <c:idx val="2"/>
          <c:order val="2"/>
          <c:tx>
            <c:strRef>
              <c:f>Arkusz2!$D$1</c:f>
              <c:strCache>
                <c:ptCount val="1"/>
                <c:pt idx="0">
                  <c:v>2011</c:v>
                </c:pt>
              </c:strCache>
            </c:strRef>
          </c:tx>
          <c:spPr>
            <a:solidFill>
              <a:schemeClr val="accent5">
                <a:lumMod val="50000"/>
              </a:schemeClr>
            </a:solidFill>
          </c:spPr>
          <c:invertIfNegative val="0"/>
          <c:dLbls>
            <c:numFmt formatCode="#,##0" sourceLinked="0"/>
            <c:txPr>
              <a:bodyPr rot="-5400000" vert="horz"/>
              <a:lstStyle/>
              <a:p>
                <a:pPr>
                  <a:defRPr/>
                </a:pPr>
                <a:endParaRPr lang="pl-PL"/>
              </a:p>
            </c:txPr>
            <c:showLegendKey val="0"/>
            <c:showVal val="1"/>
            <c:showCatName val="0"/>
            <c:showSerName val="0"/>
            <c:showPercent val="0"/>
            <c:showBubbleSize val="0"/>
            <c:showLeaderLines val="0"/>
          </c:dLbls>
          <c:cat>
            <c:strRef>
              <c:f>Arkusz2!$A$2:$A$8</c:f>
              <c:strCache>
                <c:ptCount val="7"/>
                <c:pt idx="0">
                  <c:v>staże</c:v>
                </c:pt>
                <c:pt idx="1">
                  <c:v>szkolenia</c:v>
                </c:pt>
                <c:pt idx="2">
                  <c:v>doposażenie/ wyposażenie miejsca pracy</c:v>
                </c:pt>
                <c:pt idx="3">
                  <c:v>rozpoczęcie działalności gospodarczej</c:v>
                </c:pt>
                <c:pt idx="4">
                  <c:v>prace interwencyjne</c:v>
                </c:pt>
                <c:pt idx="5">
                  <c:v>roboty publiczne</c:v>
                </c:pt>
                <c:pt idx="6">
                  <c:v>inne*</c:v>
                </c:pt>
              </c:strCache>
            </c:strRef>
          </c:cat>
          <c:val>
            <c:numRef>
              <c:f>Arkusz2!$D$2:$D$8</c:f>
              <c:numCache>
                <c:formatCode>General</c:formatCode>
                <c:ptCount val="7"/>
                <c:pt idx="0">
                  <c:v>4895</c:v>
                </c:pt>
                <c:pt idx="1">
                  <c:v>1172</c:v>
                </c:pt>
                <c:pt idx="2">
                  <c:v>861</c:v>
                </c:pt>
                <c:pt idx="3">
                  <c:v>516</c:v>
                </c:pt>
                <c:pt idx="4">
                  <c:v>426</c:v>
                </c:pt>
                <c:pt idx="5">
                  <c:v>121</c:v>
                </c:pt>
                <c:pt idx="6">
                  <c:v>176</c:v>
                </c:pt>
              </c:numCache>
            </c:numRef>
          </c:val>
        </c:ser>
        <c:dLbls>
          <c:showLegendKey val="0"/>
          <c:showVal val="0"/>
          <c:showCatName val="0"/>
          <c:showSerName val="0"/>
          <c:showPercent val="0"/>
          <c:showBubbleSize val="0"/>
        </c:dLbls>
        <c:gapWidth val="150"/>
        <c:axId val="111015808"/>
        <c:axId val="111017344"/>
      </c:barChart>
      <c:catAx>
        <c:axId val="111015808"/>
        <c:scaling>
          <c:orientation val="minMax"/>
        </c:scaling>
        <c:delete val="0"/>
        <c:axPos val="b"/>
        <c:majorTickMark val="out"/>
        <c:minorTickMark val="none"/>
        <c:tickLblPos val="nextTo"/>
        <c:txPr>
          <a:bodyPr rot="0" anchor="t" anchorCtr="1"/>
          <a:lstStyle/>
          <a:p>
            <a:pPr>
              <a:defRPr/>
            </a:pPr>
            <a:endParaRPr lang="pl-PL"/>
          </a:p>
        </c:txPr>
        <c:crossAx val="111017344"/>
        <c:crosses val="autoZero"/>
        <c:auto val="1"/>
        <c:lblAlgn val="ctr"/>
        <c:lblOffset val="100"/>
        <c:noMultiLvlLbl val="0"/>
      </c:catAx>
      <c:valAx>
        <c:axId val="111017344"/>
        <c:scaling>
          <c:orientation val="minMax"/>
        </c:scaling>
        <c:delete val="0"/>
        <c:axPos val="l"/>
        <c:numFmt formatCode="General" sourceLinked="1"/>
        <c:majorTickMark val="out"/>
        <c:minorTickMark val="none"/>
        <c:tickLblPos val="nextTo"/>
        <c:crossAx val="111015808"/>
        <c:crosses val="autoZero"/>
        <c:crossBetween val="between"/>
      </c:valAx>
      <c:spPr>
        <a:noFill/>
        <a:ln>
          <a:noFill/>
        </a:ln>
      </c:spPr>
    </c:plotArea>
    <c:legend>
      <c:legendPos val="b"/>
      <c:layout>
        <c:manualLayout>
          <c:xMode val="edge"/>
          <c:yMode val="edge"/>
          <c:x val="0.69800494186384321"/>
          <c:y val="0.89547919717582469"/>
          <c:w val="0.190928144220465"/>
          <c:h val="6.4988008574399903E-2"/>
        </c:manualLayout>
      </c:layout>
      <c:overlay val="0"/>
    </c:legend>
    <c:plotVisOnly val="1"/>
    <c:dispBlanksAs val="gap"/>
    <c:showDLblsOverMax val="0"/>
  </c:chart>
  <c:spPr>
    <a:noFill/>
    <a:ln>
      <a:noFill/>
    </a:ln>
  </c:spPr>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Arkusz3!$B$1</c:f>
              <c:strCache>
                <c:ptCount val="1"/>
                <c:pt idx="0">
                  <c:v>2009</c:v>
                </c:pt>
              </c:strCache>
            </c:strRef>
          </c:tx>
          <c:spPr>
            <a:solidFill>
              <a:schemeClr val="accent6">
                <a:lumMod val="40000"/>
                <a:lumOff val="60000"/>
              </a:schemeClr>
            </a:solidFill>
          </c:spPr>
          <c:invertIfNegative val="0"/>
          <c:dLbls>
            <c:txPr>
              <a:bodyPr rot="-5400000" vert="horz"/>
              <a:lstStyle/>
              <a:p>
                <a:pPr>
                  <a:defRPr/>
                </a:pPr>
                <a:endParaRPr lang="pl-PL"/>
              </a:p>
            </c:txPr>
            <c:showLegendKey val="0"/>
            <c:showVal val="1"/>
            <c:showCatName val="0"/>
            <c:showSerName val="0"/>
            <c:showPercent val="0"/>
            <c:showBubbleSize val="0"/>
            <c:showLeaderLines val="0"/>
          </c:dLbls>
          <c:cat>
            <c:strRef>
              <c:f>Arkusz3!$A$2:$A$9</c:f>
              <c:strCache>
                <c:ptCount val="8"/>
                <c:pt idx="0">
                  <c:v>prace społecznie użyteczne</c:v>
                </c:pt>
                <c:pt idx="1">
                  <c:v>szkolenia</c:v>
                </c:pt>
                <c:pt idx="2">
                  <c:v>staże</c:v>
                </c:pt>
                <c:pt idx="3">
                  <c:v>roboty publiczne</c:v>
                </c:pt>
                <c:pt idx="4">
                  <c:v>rozpoczęcie działalności gospodarczej</c:v>
                </c:pt>
                <c:pt idx="5">
                  <c:v>prace interwencyjne</c:v>
                </c:pt>
                <c:pt idx="6">
                  <c:v>doposażenie/ wyposażenie miejsca pracy</c:v>
                </c:pt>
                <c:pt idx="7">
                  <c:v>inne*</c:v>
                </c:pt>
              </c:strCache>
            </c:strRef>
          </c:cat>
          <c:val>
            <c:numRef>
              <c:f>Arkusz3!$B$2:$B$9</c:f>
              <c:numCache>
                <c:formatCode>General</c:formatCode>
                <c:ptCount val="8"/>
                <c:pt idx="0">
                  <c:v>747</c:v>
                </c:pt>
                <c:pt idx="1">
                  <c:v>1613</c:v>
                </c:pt>
                <c:pt idx="2">
                  <c:v>516</c:v>
                </c:pt>
                <c:pt idx="3">
                  <c:v>1239</c:v>
                </c:pt>
                <c:pt idx="4">
                  <c:v>348</c:v>
                </c:pt>
                <c:pt idx="5">
                  <c:v>315</c:v>
                </c:pt>
                <c:pt idx="6">
                  <c:v>239</c:v>
                </c:pt>
                <c:pt idx="7">
                  <c:v>50</c:v>
                </c:pt>
              </c:numCache>
            </c:numRef>
          </c:val>
        </c:ser>
        <c:ser>
          <c:idx val="1"/>
          <c:order val="1"/>
          <c:tx>
            <c:strRef>
              <c:f>Arkusz3!$C$1</c:f>
              <c:strCache>
                <c:ptCount val="1"/>
                <c:pt idx="0">
                  <c:v>2010</c:v>
                </c:pt>
              </c:strCache>
            </c:strRef>
          </c:tx>
          <c:spPr>
            <a:solidFill>
              <a:schemeClr val="accent6"/>
            </a:solidFill>
          </c:spPr>
          <c:invertIfNegative val="0"/>
          <c:dLbls>
            <c:txPr>
              <a:bodyPr rot="-5400000" vert="horz"/>
              <a:lstStyle/>
              <a:p>
                <a:pPr>
                  <a:defRPr/>
                </a:pPr>
                <a:endParaRPr lang="pl-PL"/>
              </a:p>
            </c:txPr>
            <c:showLegendKey val="0"/>
            <c:showVal val="1"/>
            <c:showCatName val="0"/>
            <c:showSerName val="0"/>
            <c:showPercent val="0"/>
            <c:showBubbleSize val="0"/>
            <c:showLeaderLines val="0"/>
          </c:dLbls>
          <c:cat>
            <c:strRef>
              <c:f>Arkusz3!$A$2:$A$9</c:f>
              <c:strCache>
                <c:ptCount val="8"/>
                <c:pt idx="0">
                  <c:v>prace społecznie użyteczne</c:v>
                </c:pt>
                <c:pt idx="1">
                  <c:v>szkolenia</c:v>
                </c:pt>
                <c:pt idx="2">
                  <c:v>staże</c:v>
                </c:pt>
                <c:pt idx="3">
                  <c:v>roboty publiczne</c:v>
                </c:pt>
                <c:pt idx="4">
                  <c:v>rozpoczęcie działalności gospodarczej</c:v>
                </c:pt>
                <c:pt idx="5">
                  <c:v>prace interwencyjne</c:v>
                </c:pt>
                <c:pt idx="6">
                  <c:v>doposażenie/ wyposażenie miejsca pracy</c:v>
                </c:pt>
                <c:pt idx="7">
                  <c:v>inne*</c:v>
                </c:pt>
              </c:strCache>
            </c:strRef>
          </c:cat>
          <c:val>
            <c:numRef>
              <c:f>Arkusz3!$C$2:$C$9</c:f>
              <c:numCache>
                <c:formatCode>General</c:formatCode>
                <c:ptCount val="8"/>
                <c:pt idx="0">
                  <c:v>835</c:v>
                </c:pt>
                <c:pt idx="1">
                  <c:v>1811</c:v>
                </c:pt>
                <c:pt idx="2">
                  <c:v>887</c:v>
                </c:pt>
                <c:pt idx="3">
                  <c:v>1459</c:v>
                </c:pt>
                <c:pt idx="4">
                  <c:v>444</c:v>
                </c:pt>
                <c:pt idx="5">
                  <c:v>296</c:v>
                </c:pt>
                <c:pt idx="6">
                  <c:v>391</c:v>
                </c:pt>
                <c:pt idx="7">
                  <c:v>52</c:v>
                </c:pt>
              </c:numCache>
            </c:numRef>
          </c:val>
        </c:ser>
        <c:ser>
          <c:idx val="2"/>
          <c:order val="2"/>
          <c:tx>
            <c:strRef>
              <c:f>Arkusz3!$D$1</c:f>
              <c:strCache>
                <c:ptCount val="1"/>
                <c:pt idx="0">
                  <c:v>2011</c:v>
                </c:pt>
              </c:strCache>
            </c:strRef>
          </c:tx>
          <c:spPr>
            <a:solidFill>
              <a:schemeClr val="accent6">
                <a:lumMod val="50000"/>
              </a:schemeClr>
            </a:solidFill>
          </c:spPr>
          <c:invertIfNegative val="0"/>
          <c:dLbls>
            <c:txPr>
              <a:bodyPr rot="-5400000" vert="horz"/>
              <a:lstStyle/>
              <a:p>
                <a:pPr>
                  <a:defRPr/>
                </a:pPr>
                <a:endParaRPr lang="pl-PL"/>
              </a:p>
            </c:txPr>
            <c:showLegendKey val="0"/>
            <c:showVal val="1"/>
            <c:showCatName val="0"/>
            <c:showSerName val="0"/>
            <c:showPercent val="0"/>
            <c:showBubbleSize val="0"/>
            <c:showLeaderLines val="0"/>
          </c:dLbls>
          <c:cat>
            <c:strRef>
              <c:f>Arkusz3!$A$2:$A$9</c:f>
              <c:strCache>
                <c:ptCount val="8"/>
                <c:pt idx="0">
                  <c:v>prace społecznie użyteczne</c:v>
                </c:pt>
                <c:pt idx="1">
                  <c:v>szkolenia</c:v>
                </c:pt>
                <c:pt idx="2">
                  <c:v>staże</c:v>
                </c:pt>
                <c:pt idx="3">
                  <c:v>roboty publiczne</c:v>
                </c:pt>
                <c:pt idx="4">
                  <c:v>rozpoczęcie działalności gospodarczej</c:v>
                </c:pt>
                <c:pt idx="5">
                  <c:v>prace interwencyjne</c:v>
                </c:pt>
                <c:pt idx="6">
                  <c:v>doposażenie/ wyposażenie miejsca pracy</c:v>
                </c:pt>
                <c:pt idx="7">
                  <c:v>inne*</c:v>
                </c:pt>
              </c:strCache>
            </c:strRef>
          </c:cat>
          <c:val>
            <c:numRef>
              <c:f>Arkusz3!$D$2:$D$9</c:f>
              <c:numCache>
                <c:formatCode>General</c:formatCode>
                <c:ptCount val="8"/>
                <c:pt idx="0">
                  <c:v>712</c:v>
                </c:pt>
                <c:pt idx="1">
                  <c:v>704</c:v>
                </c:pt>
                <c:pt idx="2">
                  <c:v>636</c:v>
                </c:pt>
                <c:pt idx="3">
                  <c:v>572</c:v>
                </c:pt>
                <c:pt idx="4">
                  <c:v>221</c:v>
                </c:pt>
                <c:pt idx="5">
                  <c:v>190</c:v>
                </c:pt>
                <c:pt idx="6">
                  <c:v>169</c:v>
                </c:pt>
                <c:pt idx="7">
                  <c:v>46</c:v>
                </c:pt>
              </c:numCache>
            </c:numRef>
          </c:val>
        </c:ser>
        <c:dLbls>
          <c:showLegendKey val="0"/>
          <c:showVal val="0"/>
          <c:showCatName val="0"/>
          <c:showSerName val="0"/>
          <c:showPercent val="0"/>
          <c:showBubbleSize val="0"/>
        </c:dLbls>
        <c:gapWidth val="150"/>
        <c:axId val="111172608"/>
        <c:axId val="111178496"/>
      </c:barChart>
      <c:catAx>
        <c:axId val="111172608"/>
        <c:scaling>
          <c:orientation val="minMax"/>
        </c:scaling>
        <c:delete val="0"/>
        <c:axPos val="b"/>
        <c:majorTickMark val="out"/>
        <c:minorTickMark val="none"/>
        <c:tickLblPos val="nextTo"/>
        <c:txPr>
          <a:bodyPr/>
          <a:lstStyle/>
          <a:p>
            <a:pPr>
              <a:defRPr sz="800"/>
            </a:pPr>
            <a:endParaRPr lang="pl-PL"/>
          </a:p>
        </c:txPr>
        <c:crossAx val="111178496"/>
        <c:crosses val="autoZero"/>
        <c:auto val="1"/>
        <c:lblAlgn val="ctr"/>
        <c:lblOffset val="100"/>
        <c:noMultiLvlLbl val="0"/>
      </c:catAx>
      <c:valAx>
        <c:axId val="111178496"/>
        <c:scaling>
          <c:orientation val="minMax"/>
        </c:scaling>
        <c:delete val="0"/>
        <c:axPos val="l"/>
        <c:numFmt formatCode="General" sourceLinked="1"/>
        <c:majorTickMark val="out"/>
        <c:minorTickMark val="none"/>
        <c:tickLblPos val="nextTo"/>
        <c:crossAx val="111172608"/>
        <c:crosses val="autoZero"/>
        <c:crossBetween val="between"/>
      </c:valAx>
      <c:spPr>
        <a:noFill/>
        <a:ln>
          <a:noFill/>
        </a:ln>
      </c:spPr>
    </c:plotArea>
    <c:legend>
      <c:legendPos val="b"/>
      <c:layout>
        <c:manualLayout>
          <c:xMode val="edge"/>
          <c:yMode val="edge"/>
          <c:x val="0.55137854729453373"/>
          <c:y val="0.92408158725921985"/>
          <c:w val="0.27697342790828833"/>
          <c:h val="4.7669825170158817E-2"/>
        </c:manualLayout>
      </c:layout>
      <c:overlay val="0"/>
    </c:legend>
    <c:plotVisOnly val="1"/>
    <c:dispBlanksAs val="gap"/>
    <c:showDLblsOverMax val="0"/>
  </c:chart>
  <c:spPr>
    <a:noFill/>
    <a:ln>
      <a:noFill/>
    </a:ln>
  </c:spPr>
  <c:txPr>
    <a:bodyPr/>
    <a:lstStyle/>
    <a:p>
      <a:pPr>
        <a:defRPr sz="900"/>
      </a:pPr>
      <a:endParaRPr lang="pl-PL"/>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6313829034843701E-2"/>
          <c:y val="0.13073001415885233"/>
          <c:w val="0.59970735693966393"/>
          <c:h val="0.77032868597847293"/>
        </c:manualLayout>
      </c:layout>
      <c:pie3DChart>
        <c:varyColors val="1"/>
        <c:ser>
          <c:idx val="0"/>
          <c:order val="0"/>
          <c:spPr>
            <a:solidFill>
              <a:srgbClr val="CC0099"/>
            </a:solidFill>
          </c:spPr>
          <c:explosion val="25"/>
          <c:dPt>
            <c:idx val="0"/>
            <c:bubble3D val="0"/>
            <c:spPr>
              <a:solidFill>
                <a:schemeClr val="accent5"/>
              </a:solidFill>
            </c:spPr>
          </c:dPt>
          <c:dLbls>
            <c:dLbl>
              <c:idx val="0"/>
              <c:layout>
                <c:manualLayout>
                  <c:x val="-7.577173351945965E-2"/>
                  <c:y val="-0.25603226700417664"/>
                </c:manualLayout>
              </c:layout>
              <c:showLegendKey val="0"/>
              <c:showVal val="1"/>
              <c:showCatName val="0"/>
              <c:showSerName val="0"/>
              <c:showPercent val="0"/>
              <c:showBubbleSize val="0"/>
            </c:dLbl>
            <c:dLbl>
              <c:idx val="1"/>
              <c:layout>
                <c:manualLayout>
                  <c:x val="4.9415138897111542E-2"/>
                  <c:y val="0.30384064322402504"/>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'25 płeć'!$A$2:$B$2</c:f>
              <c:strCache>
                <c:ptCount val="2"/>
                <c:pt idx="0">
                  <c:v>mężczyźni</c:v>
                </c:pt>
                <c:pt idx="1">
                  <c:v>kobiety</c:v>
                </c:pt>
              </c:strCache>
            </c:strRef>
          </c:cat>
          <c:val>
            <c:numRef>
              <c:f>'25 płeć'!$A$3:$B$3</c:f>
              <c:numCache>
                <c:formatCode>0.00%</c:formatCode>
                <c:ptCount val="2"/>
                <c:pt idx="0">
                  <c:v>0.44400000000000001</c:v>
                </c:pt>
                <c:pt idx="1">
                  <c:v>0.55600000000000005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noFill/>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3886109540174879"/>
          <c:y val="0.18980857996198755"/>
          <c:w val="0.56668812807238877"/>
          <c:h val="0.71340845325368807"/>
        </c:manualLayout>
      </c:layout>
      <c:pie3DChart>
        <c:varyColors val="1"/>
        <c:ser>
          <c:idx val="0"/>
          <c:order val="0"/>
          <c:explosion val="25"/>
          <c:dPt>
            <c:idx val="0"/>
            <c:bubble3D val="0"/>
            <c:spPr>
              <a:solidFill>
                <a:srgbClr val="3333CC"/>
              </a:solidFill>
            </c:spPr>
          </c:dPt>
          <c:dPt>
            <c:idx val="1"/>
            <c:bubble3D val="0"/>
            <c:spPr>
              <a:solidFill>
                <a:srgbClr val="990033"/>
              </a:solidFill>
            </c:spPr>
          </c:dPt>
          <c:dLbls>
            <c:dLbl>
              <c:idx val="0"/>
              <c:layout>
                <c:manualLayout>
                  <c:x val="-6.4039246403100134E-3"/>
                  <c:y val="-0.19825053923081523"/>
                </c:manualLayout>
              </c:layout>
              <c:showLegendKey val="0"/>
              <c:showVal val="1"/>
              <c:showCatName val="0"/>
              <c:showSerName val="0"/>
              <c:showPercent val="0"/>
              <c:showBubbleSize val="0"/>
            </c:dLbl>
            <c:dLbl>
              <c:idx val="1"/>
              <c:layout>
                <c:manualLayout>
                  <c:x val="6.8854221347331587E-2"/>
                  <c:y val="0.22939596092155148"/>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'25 płeć'!$A$18:$B$18</c:f>
              <c:strCache>
                <c:ptCount val="2"/>
                <c:pt idx="0">
                  <c:v>mężczyźni</c:v>
                </c:pt>
                <c:pt idx="1">
                  <c:v>kobiety</c:v>
                </c:pt>
              </c:strCache>
            </c:strRef>
          </c:cat>
          <c:val>
            <c:numRef>
              <c:f>'25 płeć'!$A$19:$B$19</c:f>
              <c:numCache>
                <c:formatCode>0.00%</c:formatCode>
                <c:ptCount val="2"/>
                <c:pt idx="0">
                  <c:v>0.41499999999999998</c:v>
                </c:pt>
                <c:pt idx="1">
                  <c:v>0.58499999999999996</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noFill/>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4839523246563019"/>
          <c:y val="0.16853039711499476"/>
          <c:w val="0.57444090026990258"/>
          <c:h val="0.74752662014809113"/>
        </c:manualLayout>
      </c:layout>
      <c:pie3DChart>
        <c:varyColors val="1"/>
        <c:ser>
          <c:idx val="0"/>
          <c:order val="0"/>
          <c:explosion val="25"/>
          <c:dPt>
            <c:idx val="0"/>
            <c:bubble3D val="0"/>
            <c:spPr>
              <a:solidFill>
                <a:srgbClr val="FF9900"/>
              </a:solidFill>
            </c:spPr>
          </c:dPt>
          <c:dPt>
            <c:idx val="1"/>
            <c:bubble3D val="0"/>
            <c:spPr>
              <a:solidFill>
                <a:srgbClr val="00CC99"/>
              </a:solidFill>
            </c:spPr>
          </c:dPt>
          <c:dLbls>
            <c:dLbl>
              <c:idx val="0"/>
              <c:layout>
                <c:manualLayout>
                  <c:x val="-3.5337999416739575E-2"/>
                  <c:y val="-0.1913060865659405"/>
                </c:manualLayout>
              </c:layout>
              <c:showLegendKey val="0"/>
              <c:showVal val="1"/>
              <c:showCatName val="0"/>
              <c:showSerName val="0"/>
              <c:showPercent val="0"/>
              <c:showBubbleSize val="0"/>
            </c:dLbl>
            <c:dLbl>
              <c:idx val="1"/>
              <c:layout>
                <c:manualLayout>
                  <c:x val="6.1666868564506351E-2"/>
                  <c:y val="0.24366682846100451"/>
                </c:manualLayout>
              </c:layout>
              <c:showLegendKey val="0"/>
              <c:showVal val="1"/>
              <c:showCatName val="0"/>
              <c:showSerName val="0"/>
              <c:showPercent val="0"/>
              <c:showBubbleSize val="0"/>
            </c:dLbl>
            <c:showLegendKey val="0"/>
            <c:showVal val="0"/>
            <c:showCatName val="0"/>
            <c:showSerName val="0"/>
            <c:showPercent val="0"/>
            <c:showBubbleSize val="0"/>
          </c:dLbls>
          <c:cat>
            <c:strRef>
              <c:f>'25 płeć'!$A$34:$B$34</c:f>
              <c:strCache>
                <c:ptCount val="2"/>
                <c:pt idx="0">
                  <c:v>mężczyźni</c:v>
                </c:pt>
                <c:pt idx="1">
                  <c:v>kobiety</c:v>
                </c:pt>
              </c:strCache>
            </c:strRef>
          </c:cat>
          <c:val>
            <c:numRef>
              <c:f>'25 płeć'!$A$35:$B$35</c:f>
              <c:numCache>
                <c:formatCode>0.00%</c:formatCode>
                <c:ptCount val="2"/>
                <c:pt idx="0">
                  <c:v>0.39700000000000002</c:v>
                </c:pt>
                <c:pt idx="1">
                  <c:v>0.60299999999999998</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noFill/>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4928635170603674"/>
          <c:y val="0.10937739339959554"/>
          <c:w val="0.5505829396325459"/>
          <c:h val="0.69273870177992458"/>
        </c:manualLayout>
      </c:layout>
      <c:pie3DChart>
        <c:varyColors val="1"/>
        <c:ser>
          <c:idx val="0"/>
          <c:order val="0"/>
          <c:explosion val="25"/>
          <c:dPt>
            <c:idx val="0"/>
            <c:bubble3D val="0"/>
            <c:spPr>
              <a:solidFill>
                <a:srgbClr val="0070C0"/>
              </a:solidFill>
            </c:spPr>
          </c:dPt>
          <c:dPt>
            <c:idx val="1"/>
            <c:bubble3D val="0"/>
            <c:spPr>
              <a:solidFill>
                <a:srgbClr val="CC0000"/>
              </a:solidFill>
            </c:spPr>
          </c:dPt>
          <c:dLbls>
            <c:dLbl>
              <c:idx val="0"/>
              <c:layout>
                <c:manualLayout>
                  <c:x val="-1.4290244969378828E-2"/>
                  <c:y val="0.27034776902887137"/>
                </c:manualLayout>
              </c:layout>
              <c:showLegendKey val="0"/>
              <c:showVal val="1"/>
              <c:showCatName val="0"/>
              <c:showSerName val="0"/>
              <c:showPercent val="0"/>
              <c:showBubbleSize val="0"/>
            </c:dLbl>
            <c:dLbl>
              <c:idx val="1"/>
              <c:layout>
                <c:manualLayout>
                  <c:x val="3.6693132108486438E-2"/>
                  <c:y val="-0.1680227471566054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'50+ płeć'!$A$2:$B$2</c:f>
              <c:strCache>
                <c:ptCount val="2"/>
                <c:pt idx="0">
                  <c:v>mężczyźni</c:v>
                </c:pt>
                <c:pt idx="1">
                  <c:v>kobiety</c:v>
                </c:pt>
              </c:strCache>
            </c:strRef>
          </c:cat>
          <c:val>
            <c:numRef>
              <c:f>'50+ płeć'!$A$3:$B$3</c:f>
              <c:numCache>
                <c:formatCode>0.00%</c:formatCode>
                <c:ptCount val="2"/>
                <c:pt idx="0">
                  <c:v>0.57799999999999996</c:v>
                </c:pt>
                <c:pt idx="1">
                  <c:v>0.42199999999999999</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9192363012302258"/>
          <c:y val="0.40849863955308652"/>
          <c:w val="0.1801693999464323"/>
          <c:h val="0.18300232246157819"/>
        </c:manualLayout>
      </c:layout>
      <c:overlay val="0"/>
      <c:txPr>
        <a:bodyPr/>
        <a:lstStyle/>
        <a:p>
          <a:pPr rtl="0">
            <a:defRPr/>
          </a:pPr>
          <a:endParaRPr lang="pl-PL"/>
        </a:p>
      </c:txPr>
    </c:legend>
    <c:plotVisOnly val="1"/>
    <c:dispBlanksAs val="gap"/>
    <c:showDLblsOverMax val="0"/>
  </c:chart>
  <c:spPr>
    <a:noFill/>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4552302055993002"/>
          <c:y val="0.11659052370393629"/>
          <c:w val="0.57876120953630794"/>
          <c:h val="0.73179553375500195"/>
        </c:manualLayout>
      </c:layout>
      <c:pie3DChart>
        <c:varyColors val="1"/>
        <c:ser>
          <c:idx val="0"/>
          <c:order val="0"/>
          <c:explosion val="25"/>
          <c:dPt>
            <c:idx val="0"/>
            <c:bubble3D val="0"/>
            <c:spPr>
              <a:solidFill>
                <a:srgbClr val="008000"/>
              </a:solidFill>
            </c:spPr>
          </c:dPt>
          <c:dPt>
            <c:idx val="1"/>
            <c:bubble3D val="0"/>
            <c:spPr>
              <a:solidFill>
                <a:srgbClr val="FFC000"/>
              </a:solidFill>
            </c:spPr>
          </c:dPt>
          <c:dLbls>
            <c:dLbl>
              <c:idx val="0"/>
              <c:layout>
                <c:manualLayout>
                  <c:x val="-1.1527335678784834E-2"/>
                  <c:y val="0.29284006690196784"/>
                </c:manualLayout>
              </c:layout>
              <c:showLegendKey val="0"/>
              <c:showVal val="1"/>
              <c:showCatName val="0"/>
              <c:showSerName val="0"/>
              <c:showPercent val="0"/>
              <c:showBubbleSize val="0"/>
            </c:dLbl>
            <c:dLbl>
              <c:idx val="1"/>
              <c:layout>
                <c:manualLayout>
                  <c:x val="5.6024180488077287E-2"/>
                  <c:y val="-0.20354118742900609"/>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'50+ płeć'!$A$20:$B$20</c:f>
              <c:strCache>
                <c:ptCount val="2"/>
                <c:pt idx="0">
                  <c:v>mężczyźni</c:v>
                </c:pt>
                <c:pt idx="1">
                  <c:v>kobiety</c:v>
                </c:pt>
              </c:strCache>
            </c:strRef>
          </c:cat>
          <c:val>
            <c:numRef>
              <c:f>'50+ płeć'!$A$21:$B$21</c:f>
              <c:numCache>
                <c:formatCode>0.00%</c:formatCode>
                <c:ptCount val="2"/>
                <c:pt idx="0">
                  <c:v>0.57099999999999995</c:v>
                </c:pt>
                <c:pt idx="1">
                  <c:v>0.42899999999999999</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93043920357413"/>
          <c:y val="0.41086654715113025"/>
          <c:w val="0.1875856195941609"/>
          <c:h val="0.1782665175762746"/>
        </c:manualLayout>
      </c:layout>
      <c:overlay val="0"/>
    </c:legend>
    <c:plotVisOnly val="1"/>
    <c:dispBlanksAs val="gap"/>
    <c:showDLblsOverMax val="0"/>
  </c:chart>
  <c:spPr>
    <a:noFill/>
    <a:ln>
      <a:no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3299467487823866"/>
          <c:y val="9.2445965993381257E-2"/>
          <c:w val="0.6002108004216008"/>
          <c:h val="0.75777017003309366"/>
        </c:manualLayout>
      </c:layout>
      <c:pie3DChart>
        <c:varyColors val="1"/>
        <c:ser>
          <c:idx val="0"/>
          <c:order val="0"/>
          <c:explosion val="25"/>
          <c:dPt>
            <c:idx val="0"/>
            <c:bubble3D val="0"/>
            <c:spPr>
              <a:solidFill>
                <a:srgbClr val="7030A0"/>
              </a:solidFill>
            </c:spPr>
          </c:dPt>
          <c:dPt>
            <c:idx val="1"/>
            <c:bubble3D val="0"/>
            <c:spPr>
              <a:solidFill>
                <a:schemeClr val="accent6">
                  <a:lumMod val="75000"/>
                </a:schemeClr>
              </a:solidFill>
            </c:spPr>
          </c:dPt>
          <c:dLbls>
            <c:dLbl>
              <c:idx val="0"/>
              <c:layout>
                <c:manualLayout>
                  <c:x val="-1.0758286361745766E-2"/>
                  <c:y val="0.29237769249808909"/>
                </c:manualLayout>
              </c:layout>
              <c:showLegendKey val="0"/>
              <c:showVal val="1"/>
              <c:showCatName val="0"/>
              <c:showSerName val="0"/>
              <c:showPercent val="0"/>
              <c:showBubbleSize val="0"/>
            </c:dLbl>
            <c:dLbl>
              <c:idx val="1"/>
              <c:layout>
                <c:manualLayout>
                  <c:x val="6.5710310801313773E-2"/>
                  <c:y val="-0.21565434748160328"/>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'50+ płeć'!$A$36:$B$36</c:f>
              <c:strCache>
                <c:ptCount val="2"/>
                <c:pt idx="0">
                  <c:v>mężczyźni</c:v>
                </c:pt>
                <c:pt idx="1">
                  <c:v>kobiety</c:v>
                </c:pt>
              </c:strCache>
            </c:strRef>
          </c:cat>
          <c:val>
            <c:numRef>
              <c:f>'50+ płeć'!$A$37:$B$37</c:f>
              <c:numCache>
                <c:formatCode>0.00%</c:formatCode>
                <c:ptCount val="2"/>
                <c:pt idx="0">
                  <c:v>0.55800000000000005</c:v>
                </c:pt>
                <c:pt idx="1">
                  <c:v>0.442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8621723465669158"/>
          <c:y val="0.40779915554034007"/>
          <c:w val="0.2102832027886278"/>
          <c:h val="0.21918429761497207"/>
        </c:manualLayout>
      </c:layout>
      <c:overlay val="0"/>
    </c:legend>
    <c:plotVisOnly val="1"/>
    <c:dispBlanksAs val="gap"/>
    <c:showDLblsOverMax val="0"/>
  </c:chart>
  <c:spPr>
    <a:noFill/>
    <a:ln>
      <a:noFill/>
    </a:ln>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6865781696004751E-2"/>
          <c:y val="4.3650793650793648E-2"/>
          <c:w val="0.93213009016742165"/>
          <c:h val="0.61833989501312336"/>
        </c:manualLayout>
      </c:layout>
      <c:barChart>
        <c:barDir val="col"/>
        <c:grouping val="clustered"/>
        <c:varyColors val="0"/>
        <c:ser>
          <c:idx val="0"/>
          <c:order val="0"/>
          <c:tx>
            <c:strRef>
              <c:f>'w szczególnej'!$A$2</c:f>
              <c:strCache>
                <c:ptCount val="1"/>
                <c:pt idx="0">
                  <c:v>bez wykształcenia średniego</c:v>
                </c:pt>
              </c:strCache>
            </c:strRef>
          </c:tx>
          <c:spPr>
            <a:solidFill>
              <a:schemeClr val="tx2">
                <a:lumMod val="60000"/>
                <a:lumOff val="40000"/>
              </a:schemeClr>
            </a:solidFill>
          </c:spPr>
          <c:invertIfNegative val="0"/>
          <c:dLbls>
            <c:numFmt formatCode="#,##0" sourceLinked="0"/>
            <c:txPr>
              <a:bodyPr rot="-5400000" vert="horz"/>
              <a:lstStyle/>
              <a:p>
                <a:pPr>
                  <a:defRPr/>
                </a:pPr>
                <a:endParaRPr lang="pl-PL"/>
              </a:p>
            </c:txPr>
            <c:showLegendKey val="0"/>
            <c:showVal val="1"/>
            <c:showCatName val="0"/>
            <c:showSerName val="0"/>
            <c:showPercent val="0"/>
            <c:showBubbleSize val="0"/>
            <c:showLeaderLines val="0"/>
          </c:dLbls>
          <c:cat>
            <c:numRef>
              <c:f>'w szczególnej'!$B$1:$D$1</c:f>
              <c:numCache>
                <c:formatCode>General</c:formatCode>
                <c:ptCount val="3"/>
                <c:pt idx="0">
                  <c:v>2009</c:v>
                </c:pt>
                <c:pt idx="1">
                  <c:v>2010</c:v>
                </c:pt>
                <c:pt idx="2">
                  <c:v>2011</c:v>
                </c:pt>
              </c:numCache>
            </c:numRef>
          </c:cat>
          <c:val>
            <c:numRef>
              <c:f>'w szczególnej'!$B$2:$D$2</c:f>
              <c:numCache>
                <c:formatCode>General</c:formatCode>
                <c:ptCount val="3"/>
                <c:pt idx="0">
                  <c:v>76642</c:v>
                </c:pt>
                <c:pt idx="1">
                  <c:v>76428</c:v>
                </c:pt>
                <c:pt idx="2">
                  <c:v>75993</c:v>
                </c:pt>
              </c:numCache>
            </c:numRef>
          </c:val>
        </c:ser>
        <c:ser>
          <c:idx val="1"/>
          <c:order val="1"/>
          <c:tx>
            <c:strRef>
              <c:f>'w szczególnej'!$A$3</c:f>
              <c:strCache>
                <c:ptCount val="1"/>
                <c:pt idx="0">
                  <c:v>długotrwale bezrobotni</c:v>
                </c:pt>
              </c:strCache>
            </c:strRef>
          </c:tx>
          <c:spPr>
            <a:solidFill>
              <a:schemeClr val="tx2">
                <a:lumMod val="40000"/>
                <a:lumOff val="60000"/>
              </a:schemeClr>
            </a:solidFill>
          </c:spPr>
          <c:invertIfNegative val="0"/>
          <c:dLbls>
            <c:numFmt formatCode="#,##0" sourceLinked="0"/>
            <c:txPr>
              <a:bodyPr rot="-5400000" vert="horz"/>
              <a:lstStyle/>
              <a:p>
                <a:pPr>
                  <a:defRPr/>
                </a:pPr>
                <a:endParaRPr lang="pl-PL"/>
              </a:p>
            </c:txPr>
            <c:showLegendKey val="0"/>
            <c:showVal val="1"/>
            <c:showCatName val="0"/>
            <c:showSerName val="0"/>
            <c:showPercent val="0"/>
            <c:showBubbleSize val="0"/>
            <c:showLeaderLines val="0"/>
          </c:dLbls>
          <c:cat>
            <c:numRef>
              <c:f>'w szczególnej'!$B$1:$D$1</c:f>
              <c:numCache>
                <c:formatCode>General</c:formatCode>
                <c:ptCount val="3"/>
                <c:pt idx="0">
                  <c:v>2009</c:v>
                </c:pt>
                <c:pt idx="1">
                  <c:v>2010</c:v>
                </c:pt>
                <c:pt idx="2">
                  <c:v>2011</c:v>
                </c:pt>
              </c:numCache>
            </c:numRef>
          </c:cat>
          <c:val>
            <c:numRef>
              <c:f>'w szczególnej'!$B$3:$D$3</c:f>
              <c:numCache>
                <c:formatCode>General</c:formatCode>
                <c:ptCount val="3"/>
                <c:pt idx="0">
                  <c:v>43012</c:v>
                </c:pt>
                <c:pt idx="1">
                  <c:v>54048</c:v>
                </c:pt>
                <c:pt idx="2">
                  <c:v>58282</c:v>
                </c:pt>
              </c:numCache>
            </c:numRef>
          </c:val>
        </c:ser>
        <c:ser>
          <c:idx val="2"/>
          <c:order val="2"/>
          <c:tx>
            <c:strRef>
              <c:f>'w szczególnej'!$A$4</c:f>
              <c:strCache>
                <c:ptCount val="1"/>
                <c:pt idx="0">
                  <c:v>bez kwalifikacji zawodowych</c:v>
                </c:pt>
              </c:strCache>
            </c:strRef>
          </c:tx>
          <c:spPr>
            <a:solidFill>
              <a:schemeClr val="tx2">
                <a:lumMod val="20000"/>
                <a:lumOff val="80000"/>
              </a:schemeClr>
            </a:solidFill>
          </c:spPr>
          <c:invertIfNegative val="0"/>
          <c:dLbls>
            <c:numFmt formatCode="#,##0" sourceLinked="0"/>
            <c:txPr>
              <a:bodyPr rot="-5400000" vert="horz"/>
              <a:lstStyle/>
              <a:p>
                <a:pPr>
                  <a:defRPr/>
                </a:pPr>
                <a:endParaRPr lang="pl-PL"/>
              </a:p>
            </c:txPr>
            <c:showLegendKey val="0"/>
            <c:showVal val="1"/>
            <c:showCatName val="0"/>
            <c:showSerName val="0"/>
            <c:showPercent val="0"/>
            <c:showBubbleSize val="0"/>
            <c:showLeaderLines val="0"/>
          </c:dLbls>
          <c:cat>
            <c:numRef>
              <c:f>'w szczególnej'!$B$1:$D$1</c:f>
              <c:numCache>
                <c:formatCode>General</c:formatCode>
                <c:ptCount val="3"/>
                <c:pt idx="0">
                  <c:v>2009</c:v>
                </c:pt>
                <c:pt idx="1">
                  <c:v>2010</c:v>
                </c:pt>
                <c:pt idx="2">
                  <c:v>2011</c:v>
                </c:pt>
              </c:numCache>
            </c:numRef>
          </c:cat>
          <c:val>
            <c:numRef>
              <c:f>'w szczególnej'!$B$4:$D$4</c:f>
              <c:numCache>
                <c:formatCode>General</c:formatCode>
                <c:ptCount val="3"/>
                <c:pt idx="0">
                  <c:v>32023</c:v>
                </c:pt>
                <c:pt idx="1">
                  <c:v>31263</c:v>
                </c:pt>
                <c:pt idx="2">
                  <c:v>36401</c:v>
                </c:pt>
              </c:numCache>
            </c:numRef>
          </c:val>
        </c:ser>
        <c:ser>
          <c:idx val="3"/>
          <c:order val="3"/>
          <c:tx>
            <c:strRef>
              <c:f>'w szczególnej'!$A$5</c:f>
              <c:strCache>
                <c:ptCount val="1"/>
                <c:pt idx="0">
                  <c:v>do 25 roku życia</c:v>
                </c:pt>
              </c:strCache>
            </c:strRef>
          </c:tx>
          <c:spPr>
            <a:solidFill>
              <a:srgbClr val="FF0000"/>
            </a:solidFill>
            <a:ln>
              <a:noFill/>
            </a:ln>
          </c:spPr>
          <c:invertIfNegative val="0"/>
          <c:dLbls>
            <c:numFmt formatCode="#,##0" sourceLinked="0"/>
            <c:txPr>
              <a:bodyPr rot="-5400000" vert="horz"/>
              <a:lstStyle/>
              <a:p>
                <a:pPr>
                  <a:defRPr/>
                </a:pPr>
                <a:endParaRPr lang="pl-PL"/>
              </a:p>
            </c:txPr>
            <c:showLegendKey val="0"/>
            <c:showVal val="1"/>
            <c:showCatName val="0"/>
            <c:showSerName val="0"/>
            <c:showPercent val="0"/>
            <c:showBubbleSize val="0"/>
            <c:showLeaderLines val="0"/>
          </c:dLbls>
          <c:cat>
            <c:numRef>
              <c:f>'w szczególnej'!$B$1:$D$1</c:f>
              <c:numCache>
                <c:formatCode>General</c:formatCode>
                <c:ptCount val="3"/>
                <c:pt idx="0">
                  <c:v>2009</c:v>
                </c:pt>
                <c:pt idx="1">
                  <c:v>2010</c:v>
                </c:pt>
                <c:pt idx="2">
                  <c:v>2011</c:v>
                </c:pt>
              </c:numCache>
            </c:numRef>
          </c:cat>
          <c:val>
            <c:numRef>
              <c:f>'w szczególnej'!$B$5:$D$5</c:f>
              <c:numCache>
                <c:formatCode>General</c:formatCode>
                <c:ptCount val="3"/>
                <c:pt idx="0">
                  <c:v>35119</c:v>
                </c:pt>
                <c:pt idx="1">
                  <c:v>34147</c:v>
                </c:pt>
                <c:pt idx="2">
                  <c:v>32637</c:v>
                </c:pt>
              </c:numCache>
            </c:numRef>
          </c:val>
        </c:ser>
        <c:ser>
          <c:idx val="4"/>
          <c:order val="4"/>
          <c:tx>
            <c:strRef>
              <c:f>'w szczególnej'!$A$6</c:f>
              <c:strCache>
                <c:ptCount val="1"/>
                <c:pt idx="0">
                  <c:v>bez doświadczenia zawodowego</c:v>
                </c:pt>
              </c:strCache>
            </c:strRef>
          </c:tx>
          <c:spPr>
            <a:solidFill>
              <a:schemeClr val="accent4">
                <a:lumMod val="20000"/>
                <a:lumOff val="80000"/>
              </a:schemeClr>
            </a:solidFill>
          </c:spPr>
          <c:invertIfNegative val="0"/>
          <c:dLbls>
            <c:numFmt formatCode="#,##0" sourceLinked="0"/>
            <c:txPr>
              <a:bodyPr rot="-5400000" vert="horz"/>
              <a:lstStyle/>
              <a:p>
                <a:pPr>
                  <a:defRPr/>
                </a:pPr>
                <a:endParaRPr lang="pl-PL"/>
              </a:p>
            </c:txPr>
            <c:showLegendKey val="0"/>
            <c:showVal val="1"/>
            <c:showCatName val="0"/>
            <c:showSerName val="0"/>
            <c:showPercent val="0"/>
            <c:showBubbleSize val="0"/>
            <c:showLeaderLines val="0"/>
          </c:dLbls>
          <c:cat>
            <c:numRef>
              <c:f>'w szczególnej'!$B$1:$D$1</c:f>
              <c:numCache>
                <c:formatCode>General</c:formatCode>
                <c:ptCount val="3"/>
                <c:pt idx="0">
                  <c:v>2009</c:v>
                </c:pt>
                <c:pt idx="1">
                  <c:v>2010</c:v>
                </c:pt>
                <c:pt idx="2">
                  <c:v>2011</c:v>
                </c:pt>
              </c:numCache>
            </c:numRef>
          </c:cat>
          <c:val>
            <c:numRef>
              <c:f>'w szczególnej'!$B$6:$D$6</c:f>
              <c:numCache>
                <c:formatCode>General</c:formatCode>
                <c:ptCount val="3"/>
                <c:pt idx="0">
                  <c:v>30472</c:v>
                </c:pt>
                <c:pt idx="1">
                  <c:v>31270</c:v>
                </c:pt>
                <c:pt idx="2">
                  <c:v>29852</c:v>
                </c:pt>
              </c:numCache>
            </c:numRef>
          </c:val>
        </c:ser>
        <c:ser>
          <c:idx val="5"/>
          <c:order val="5"/>
          <c:tx>
            <c:strRef>
              <c:f>'w szczególnej'!$A$7</c:f>
              <c:strCache>
                <c:ptCount val="1"/>
                <c:pt idx="0">
                  <c:v>powyżej 50 roku życia</c:v>
                </c:pt>
              </c:strCache>
            </c:strRef>
          </c:tx>
          <c:spPr>
            <a:solidFill>
              <a:srgbClr val="C00000"/>
            </a:solidFill>
            <a:ln>
              <a:noFill/>
            </a:ln>
          </c:spPr>
          <c:invertIfNegative val="0"/>
          <c:dLbls>
            <c:numFmt formatCode="#,##0" sourceLinked="0"/>
            <c:txPr>
              <a:bodyPr rot="-5400000" vert="horz"/>
              <a:lstStyle/>
              <a:p>
                <a:pPr>
                  <a:defRPr/>
                </a:pPr>
                <a:endParaRPr lang="pl-PL"/>
              </a:p>
            </c:txPr>
            <c:showLegendKey val="0"/>
            <c:showVal val="1"/>
            <c:showCatName val="0"/>
            <c:showSerName val="0"/>
            <c:showPercent val="0"/>
            <c:showBubbleSize val="0"/>
            <c:showLeaderLines val="0"/>
          </c:dLbls>
          <c:cat>
            <c:numRef>
              <c:f>'w szczególnej'!$B$1:$D$1</c:f>
              <c:numCache>
                <c:formatCode>General</c:formatCode>
                <c:ptCount val="3"/>
                <c:pt idx="0">
                  <c:v>2009</c:v>
                </c:pt>
                <c:pt idx="1">
                  <c:v>2010</c:v>
                </c:pt>
                <c:pt idx="2">
                  <c:v>2011</c:v>
                </c:pt>
              </c:numCache>
            </c:numRef>
          </c:cat>
          <c:val>
            <c:numRef>
              <c:f>'w szczególnej'!$B$7:$D$7</c:f>
              <c:numCache>
                <c:formatCode>General</c:formatCode>
                <c:ptCount val="3"/>
                <c:pt idx="0">
                  <c:v>23861</c:v>
                </c:pt>
                <c:pt idx="1">
                  <c:v>25742</c:v>
                </c:pt>
                <c:pt idx="2">
                  <c:v>26581</c:v>
                </c:pt>
              </c:numCache>
            </c:numRef>
          </c:val>
        </c:ser>
        <c:ser>
          <c:idx val="6"/>
          <c:order val="6"/>
          <c:tx>
            <c:strRef>
              <c:f>'w szczególnej'!$A$8</c:f>
              <c:strCache>
                <c:ptCount val="1"/>
                <c:pt idx="0">
                  <c:v>kobiety, które nie podjęły zatrudnienia po urodzeniu dziecka</c:v>
                </c:pt>
              </c:strCache>
            </c:strRef>
          </c:tx>
          <c:spPr>
            <a:solidFill>
              <a:schemeClr val="accent4">
                <a:lumMod val="40000"/>
                <a:lumOff val="60000"/>
              </a:schemeClr>
            </a:solidFill>
          </c:spPr>
          <c:invertIfNegative val="0"/>
          <c:dLbls>
            <c:numFmt formatCode="#,##0" sourceLinked="0"/>
            <c:txPr>
              <a:bodyPr rot="-5400000" vert="horz"/>
              <a:lstStyle/>
              <a:p>
                <a:pPr>
                  <a:defRPr/>
                </a:pPr>
                <a:endParaRPr lang="pl-PL"/>
              </a:p>
            </c:txPr>
            <c:showLegendKey val="0"/>
            <c:showVal val="1"/>
            <c:showCatName val="0"/>
            <c:showSerName val="0"/>
            <c:showPercent val="0"/>
            <c:showBubbleSize val="0"/>
            <c:showLeaderLines val="0"/>
          </c:dLbls>
          <c:cat>
            <c:numRef>
              <c:f>'w szczególnej'!$B$1:$D$1</c:f>
              <c:numCache>
                <c:formatCode>General</c:formatCode>
                <c:ptCount val="3"/>
                <c:pt idx="0">
                  <c:v>2009</c:v>
                </c:pt>
                <c:pt idx="1">
                  <c:v>2010</c:v>
                </c:pt>
                <c:pt idx="2">
                  <c:v>2011</c:v>
                </c:pt>
              </c:numCache>
            </c:numRef>
          </c:cat>
          <c:val>
            <c:numRef>
              <c:f>'w szczególnej'!$B$8:$D$8</c:f>
              <c:numCache>
                <c:formatCode>General</c:formatCode>
                <c:ptCount val="3"/>
                <c:pt idx="0">
                  <c:v>11429</c:v>
                </c:pt>
                <c:pt idx="1">
                  <c:v>12090</c:v>
                </c:pt>
                <c:pt idx="2">
                  <c:v>13336</c:v>
                </c:pt>
              </c:numCache>
            </c:numRef>
          </c:val>
        </c:ser>
        <c:ser>
          <c:idx val="7"/>
          <c:order val="7"/>
          <c:tx>
            <c:strRef>
              <c:f>'w szczególnej'!$A$9</c:f>
              <c:strCache>
                <c:ptCount val="1"/>
                <c:pt idx="0">
                  <c:v>samotnie wychowujący dziecko do 18 roku życia</c:v>
                </c:pt>
              </c:strCache>
            </c:strRef>
          </c:tx>
          <c:spPr>
            <a:solidFill>
              <a:schemeClr val="accent4">
                <a:lumMod val="60000"/>
                <a:lumOff val="40000"/>
              </a:schemeClr>
            </a:solidFill>
          </c:spPr>
          <c:invertIfNegative val="0"/>
          <c:dLbls>
            <c:numFmt formatCode="#,##0" sourceLinked="0"/>
            <c:txPr>
              <a:bodyPr rot="-5400000" vert="horz"/>
              <a:lstStyle/>
              <a:p>
                <a:pPr>
                  <a:defRPr/>
                </a:pPr>
                <a:endParaRPr lang="pl-PL"/>
              </a:p>
            </c:txPr>
            <c:showLegendKey val="0"/>
            <c:showVal val="1"/>
            <c:showCatName val="0"/>
            <c:showSerName val="0"/>
            <c:showPercent val="0"/>
            <c:showBubbleSize val="0"/>
            <c:showLeaderLines val="0"/>
          </c:dLbls>
          <c:cat>
            <c:numRef>
              <c:f>'w szczególnej'!$B$1:$D$1</c:f>
              <c:numCache>
                <c:formatCode>General</c:formatCode>
                <c:ptCount val="3"/>
                <c:pt idx="0">
                  <c:v>2009</c:v>
                </c:pt>
                <c:pt idx="1">
                  <c:v>2010</c:v>
                </c:pt>
                <c:pt idx="2">
                  <c:v>2011</c:v>
                </c:pt>
              </c:numCache>
            </c:numRef>
          </c:cat>
          <c:val>
            <c:numRef>
              <c:f>'w szczególnej'!$B$9:$D$9</c:f>
              <c:numCache>
                <c:formatCode>General</c:formatCode>
                <c:ptCount val="3"/>
                <c:pt idx="0">
                  <c:v>10173</c:v>
                </c:pt>
                <c:pt idx="1">
                  <c:v>11252</c:v>
                </c:pt>
                <c:pt idx="2">
                  <c:v>12339</c:v>
                </c:pt>
              </c:numCache>
            </c:numRef>
          </c:val>
        </c:ser>
        <c:ser>
          <c:idx val="8"/>
          <c:order val="8"/>
          <c:tx>
            <c:strRef>
              <c:f>'w szczególnej'!$A$10</c:f>
              <c:strCache>
                <c:ptCount val="1"/>
                <c:pt idx="0">
                  <c:v>niepełnosprawni</c:v>
                </c:pt>
              </c:strCache>
            </c:strRef>
          </c:tx>
          <c:spPr>
            <a:solidFill>
              <a:schemeClr val="accent5">
                <a:lumMod val="40000"/>
                <a:lumOff val="60000"/>
              </a:schemeClr>
            </a:solidFill>
          </c:spPr>
          <c:invertIfNegative val="0"/>
          <c:dLbls>
            <c:numFmt formatCode="#,##0" sourceLinked="0"/>
            <c:txPr>
              <a:bodyPr rot="-5400000" vert="horz"/>
              <a:lstStyle/>
              <a:p>
                <a:pPr>
                  <a:defRPr/>
                </a:pPr>
                <a:endParaRPr lang="pl-PL"/>
              </a:p>
            </c:txPr>
            <c:showLegendKey val="0"/>
            <c:showVal val="1"/>
            <c:showCatName val="0"/>
            <c:showSerName val="0"/>
            <c:showPercent val="0"/>
            <c:showBubbleSize val="0"/>
            <c:showLeaderLines val="0"/>
          </c:dLbls>
          <c:cat>
            <c:numRef>
              <c:f>'w szczególnej'!$B$1:$D$1</c:f>
              <c:numCache>
                <c:formatCode>General</c:formatCode>
                <c:ptCount val="3"/>
                <c:pt idx="0">
                  <c:v>2009</c:v>
                </c:pt>
                <c:pt idx="1">
                  <c:v>2010</c:v>
                </c:pt>
                <c:pt idx="2">
                  <c:v>2011</c:v>
                </c:pt>
              </c:numCache>
            </c:numRef>
          </c:cat>
          <c:val>
            <c:numRef>
              <c:f>'w szczególnej'!$B$10:$D$10</c:f>
              <c:numCache>
                <c:formatCode>General</c:formatCode>
                <c:ptCount val="3"/>
                <c:pt idx="0">
                  <c:v>7229</c:v>
                </c:pt>
                <c:pt idx="1">
                  <c:v>7186</c:v>
                </c:pt>
                <c:pt idx="2">
                  <c:v>7604</c:v>
                </c:pt>
              </c:numCache>
            </c:numRef>
          </c:val>
        </c:ser>
        <c:ser>
          <c:idx val="9"/>
          <c:order val="9"/>
          <c:tx>
            <c:strRef>
              <c:f>'w szczególnej'!$A$11</c:f>
              <c:strCache>
                <c:ptCount val="1"/>
                <c:pt idx="0">
                  <c:v>którzy po odbyciu kary pozbawienia wolności nie podjęli zatrudnienia</c:v>
                </c:pt>
              </c:strCache>
            </c:strRef>
          </c:tx>
          <c:spPr>
            <a:solidFill>
              <a:schemeClr val="accent5">
                <a:lumMod val="60000"/>
                <a:lumOff val="40000"/>
              </a:schemeClr>
            </a:solidFill>
          </c:spPr>
          <c:invertIfNegative val="0"/>
          <c:dLbls>
            <c:numFmt formatCode="#,##0" sourceLinked="0"/>
            <c:txPr>
              <a:bodyPr rot="-5400000" vert="horz"/>
              <a:lstStyle/>
              <a:p>
                <a:pPr>
                  <a:defRPr/>
                </a:pPr>
                <a:endParaRPr lang="pl-PL"/>
              </a:p>
            </c:txPr>
            <c:showLegendKey val="0"/>
            <c:showVal val="1"/>
            <c:showCatName val="0"/>
            <c:showSerName val="0"/>
            <c:showPercent val="0"/>
            <c:showBubbleSize val="0"/>
            <c:showLeaderLines val="0"/>
          </c:dLbls>
          <c:cat>
            <c:numRef>
              <c:f>'w szczególnej'!$B$1:$D$1</c:f>
              <c:numCache>
                <c:formatCode>General</c:formatCode>
                <c:ptCount val="3"/>
                <c:pt idx="0">
                  <c:v>2009</c:v>
                </c:pt>
                <c:pt idx="1">
                  <c:v>2010</c:v>
                </c:pt>
                <c:pt idx="2">
                  <c:v>2011</c:v>
                </c:pt>
              </c:numCache>
            </c:numRef>
          </c:cat>
          <c:val>
            <c:numRef>
              <c:f>'w szczególnej'!$B$11:$D$11</c:f>
              <c:numCache>
                <c:formatCode>General</c:formatCode>
                <c:ptCount val="3"/>
                <c:pt idx="0">
                  <c:v>1909</c:v>
                </c:pt>
                <c:pt idx="1">
                  <c:v>2189</c:v>
                </c:pt>
                <c:pt idx="2">
                  <c:v>2314</c:v>
                </c:pt>
              </c:numCache>
            </c:numRef>
          </c:val>
        </c:ser>
        <c:dLbls>
          <c:showLegendKey val="0"/>
          <c:showVal val="0"/>
          <c:showCatName val="0"/>
          <c:showSerName val="0"/>
          <c:showPercent val="0"/>
          <c:showBubbleSize val="0"/>
        </c:dLbls>
        <c:gapWidth val="150"/>
        <c:axId val="98177408"/>
        <c:axId val="98178944"/>
      </c:barChart>
      <c:catAx>
        <c:axId val="98177408"/>
        <c:scaling>
          <c:orientation val="minMax"/>
        </c:scaling>
        <c:delete val="0"/>
        <c:axPos val="b"/>
        <c:numFmt formatCode="General" sourceLinked="1"/>
        <c:majorTickMark val="out"/>
        <c:minorTickMark val="none"/>
        <c:tickLblPos val="nextTo"/>
        <c:crossAx val="98178944"/>
        <c:crosses val="autoZero"/>
        <c:auto val="1"/>
        <c:lblAlgn val="ctr"/>
        <c:lblOffset val="100"/>
        <c:noMultiLvlLbl val="0"/>
      </c:catAx>
      <c:valAx>
        <c:axId val="98178944"/>
        <c:scaling>
          <c:orientation val="minMax"/>
        </c:scaling>
        <c:delete val="0"/>
        <c:axPos val="l"/>
        <c:numFmt formatCode="#,##0" sourceLinked="0"/>
        <c:majorTickMark val="out"/>
        <c:minorTickMark val="none"/>
        <c:tickLblPos val="nextTo"/>
        <c:crossAx val="98177408"/>
        <c:crosses val="autoZero"/>
        <c:crossBetween val="between"/>
      </c:valAx>
      <c:spPr>
        <a:noFill/>
        <a:ln>
          <a:noFill/>
        </a:ln>
      </c:spPr>
    </c:plotArea>
    <c:legend>
      <c:legendPos val="b"/>
      <c:layout>
        <c:manualLayout>
          <c:xMode val="edge"/>
          <c:yMode val="edge"/>
          <c:x val="4.4792477863344005E-2"/>
          <c:y val="0.73103241616198467"/>
          <c:w val="0.94184107755761304"/>
          <c:h val="0.24837545767252286"/>
        </c:manualLayout>
      </c:layout>
      <c:overlay val="0"/>
    </c:legend>
    <c:plotVisOnly val="1"/>
    <c:dispBlanksAs val="gap"/>
    <c:showDLblsOverMax val="0"/>
  </c:chart>
  <c:spPr>
    <a:noFill/>
    <a:ln>
      <a:noFill/>
    </a:ln>
  </c:spPr>
  <c:txPr>
    <a:bodyPr/>
    <a:lstStyle/>
    <a:p>
      <a:pPr>
        <a:defRPr sz="800"/>
      </a:pPr>
      <a:endParaRPr lang="pl-P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'wg wieku'!$B$3</c:f>
              <c:strCache>
                <c:ptCount val="1"/>
                <c:pt idx="0">
                  <c:v>18-24</c:v>
                </c:pt>
              </c:strCache>
            </c:strRef>
          </c:tx>
          <c:spPr>
            <a:solidFill>
              <a:schemeClr val="accent6">
                <a:lumMod val="40000"/>
                <a:lumOff val="60000"/>
              </a:schemeClr>
            </a:solidFill>
          </c:spPr>
          <c:invertIfNegative val="0"/>
          <c:dLbls>
            <c:numFmt formatCode="#,##0" sourceLinked="0"/>
            <c:txPr>
              <a:bodyPr rot="-5400000" vert="horz"/>
              <a:lstStyle/>
              <a:p>
                <a:pPr>
                  <a:defRPr/>
                </a:pPr>
                <a:endParaRPr lang="pl-PL"/>
              </a:p>
            </c:txPr>
            <c:showLegendKey val="0"/>
            <c:showVal val="1"/>
            <c:showCatName val="0"/>
            <c:showSerName val="0"/>
            <c:showPercent val="0"/>
            <c:showBubbleSize val="0"/>
            <c:showLeaderLines val="0"/>
          </c:dLbls>
          <c:cat>
            <c:numRef>
              <c:f>'wg wieku'!$C$2:$E$2</c:f>
              <c:numCache>
                <c:formatCode>General</c:formatCode>
                <c:ptCount val="3"/>
                <c:pt idx="0">
                  <c:v>2009</c:v>
                </c:pt>
                <c:pt idx="1">
                  <c:v>2010</c:v>
                </c:pt>
                <c:pt idx="2">
                  <c:v>2011</c:v>
                </c:pt>
              </c:numCache>
            </c:numRef>
          </c:cat>
          <c:val>
            <c:numRef>
              <c:f>'wg wieku'!$C$3:$E$3</c:f>
              <c:numCache>
                <c:formatCode>General</c:formatCode>
                <c:ptCount val="3"/>
                <c:pt idx="0">
                  <c:v>35119</c:v>
                </c:pt>
                <c:pt idx="1">
                  <c:v>34147</c:v>
                </c:pt>
                <c:pt idx="2">
                  <c:v>32637</c:v>
                </c:pt>
              </c:numCache>
            </c:numRef>
          </c:val>
        </c:ser>
        <c:ser>
          <c:idx val="1"/>
          <c:order val="1"/>
          <c:tx>
            <c:strRef>
              <c:f>'wg wieku'!$B$4</c:f>
              <c:strCache>
                <c:ptCount val="1"/>
                <c:pt idx="0">
                  <c:v>25-34</c:v>
                </c:pt>
              </c:strCache>
            </c:strRef>
          </c:tx>
          <c:spPr>
            <a:solidFill>
              <a:srgbClr val="FF0000"/>
            </a:solidFill>
          </c:spPr>
          <c:invertIfNegative val="0"/>
          <c:dLbls>
            <c:numFmt formatCode="#,##0" sourceLinked="0"/>
            <c:txPr>
              <a:bodyPr rot="-5400000" vert="horz"/>
              <a:lstStyle/>
              <a:p>
                <a:pPr>
                  <a:defRPr/>
                </a:pPr>
                <a:endParaRPr lang="pl-PL"/>
              </a:p>
            </c:txPr>
            <c:dLblPos val="outEnd"/>
            <c:showLegendKey val="0"/>
            <c:showVal val="1"/>
            <c:showCatName val="0"/>
            <c:showSerName val="0"/>
            <c:showPercent val="0"/>
            <c:showBubbleSize val="0"/>
            <c:showLeaderLines val="0"/>
          </c:dLbls>
          <c:cat>
            <c:numRef>
              <c:f>'wg wieku'!$C$2:$E$2</c:f>
              <c:numCache>
                <c:formatCode>General</c:formatCode>
                <c:ptCount val="3"/>
                <c:pt idx="0">
                  <c:v>2009</c:v>
                </c:pt>
                <c:pt idx="1">
                  <c:v>2010</c:v>
                </c:pt>
                <c:pt idx="2">
                  <c:v>2011</c:v>
                </c:pt>
              </c:numCache>
            </c:numRef>
          </c:cat>
          <c:val>
            <c:numRef>
              <c:f>'wg wieku'!$C$4:$E$4</c:f>
              <c:numCache>
                <c:formatCode>General</c:formatCode>
                <c:ptCount val="3"/>
                <c:pt idx="0">
                  <c:v>39210</c:v>
                </c:pt>
                <c:pt idx="1">
                  <c:v>39907</c:v>
                </c:pt>
                <c:pt idx="2">
                  <c:v>40184</c:v>
                </c:pt>
              </c:numCache>
            </c:numRef>
          </c:val>
        </c:ser>
        <c:ser>
          <c:idx val="2"/>
          <c:order val="2"/>
          <c:tx>
            <c:strRef>
              <c:f>'wg wieku'!$B$5</c:f>
              <c:strCache>
                <c:ptCount val="1"/>
                <c:pt idx="0">
                  <c:v>35-44</c:v>
                </c:pt>
              </c:strCache>
            </c:strRef>
          </c:tx>
          <c:spPr>
            <a:solidFill>
              <a:schemeClr val="accent6">
                <a:lumMod val="60000"/>
                <a:lumOff val="40000"/>
              </a:schemeClr>
            </a:solidFill>
          </c:spPr>
          <c:invertIfNegative val="0"/>
          <c:dLbls>
            <c:numFmt formatCode="#,##0" sourceLinked="0"/>
            <c:txPr>
              <a:bodyPr rot="-5400000" vert="horz"/>
              <a:lstStyle/>
              <a:p>
                <a:pPr>
                  <a:defRPr/>
                </a:pPr>
                <a:endParaRPr lang="pl-PL"/>
              </a:p>
            </c:txPr>
            <c:showLegendKey val="0"/>
            <c:showVal val="1"/>
            <c:showCatName val="0"/>
            <c:showSerName val="0"/>
            <c:showPercent val="0"/>
            <c:showBubbleSize val="0"/>
            <c:showLeaderLines val="0"/>
          </c:dLbls>
          <c:cat>
            <c:numRef>
              <c:f>'wg wieku'!$C$2:$E$2</c:f>
              <c:numCache>
                <c:formatCode>General</c:formatCode>
                <c:ptCount val="3"/>
                <c:pt idx="0">
                  <c:v>2009</c:v>
                </c:pt>
                <c:pt idx="1">
                  <c:v>2010</c:v>
                </c:pt>
                <c:pt idx="2">
                  <c:v>2011</c:v>
                </c:pt>
              </c:numCache>
            </c:numRef>
          </c:cat>
          <c:val>
            <c:numRef>
              <c:f>'wg wieku'!$C$5:$E$5</c:f>
              <c:numCache>
                <c:formatCode>General</c:formatCode>
                <c:ptCount val="3"/>
                <c:pt idx="0">
                  <c:v>23496</c:v>
                </c:pt>
                <c:pt idx="1">
                  <c:v>24116</c:v>
                </c:pt>
                <c:pt idx="2">
                  <c:v>24788</c:v>
                </c:pt>
              </c:numCache>
            </c:numRef>
          </c:val>
        </c:ser>
        <c:ser>
          <c:idx val="3"/>
          <c:order val="3"/>
          <c:tx>
            <c:strRef>
              <c:f>'wg wieku'!$B$6</c:f>
              <c:strCache>
                <c:ptCount val="1"/>
                <c:pt idx="0">
                  <c:v>45-54</c:v>
                </c:pt>
              </c:strCache>
            </c:strRef>
          </c:tx>
          <c:spPr>
            <a:solidFill>
              <a:schemeClr val="accent2">
                <a:lumMod val="75000"/>
              </a:schemeClr>
            </a:solidFill>
          </c:spPr>
          <c:invertIfNegative val="0"/>
          <c:dLbls>
            <c:txPr>
              <a:bodyPr rot="-5400000" vert="horz"/>
              <a:lstStyle/>
              <a:p>
                <a:pPr>
                  <a:defRPr/>
                </a:pPr>
                <a:endParaRPr lang="pl-PL"/>
              </a:p>
            </c:txPr>
            <c:showLegendKey val="0"/>
            <c:showVal val="1"/>
            <c:showCatName val="0"/>
            <c:showSerName val="0"/>
            <c:showPercent val="0"/>
            <c:showBubbleSize val="0"/>
            <c:showLeaderLines val="0"/>
          </c:dLbls>
          <c:cat>
            <c:numRef>
              <c:f>'wg wieku'!$C$2:$E$2</c:f>
              <c:numCache>
                <c:formatCode>General</c:formatCode>
                <c:ptCount val="3"/>
                <c:pt idx="0">
                  <c:v>2009</c:v>
                </c:pt>
                <c:pt idx="1">
                  <c:v>2010</c:v>
                </c:pt>
                <c:pt idx="2">
                  <c:v>2011</c:v>
                </c:pt>
              </c:numCache>
            </c:numRef>
          </c:cat>
          <c:val>
            <c:numRef>
              <c:f>'wg wieku'!$C$6:$E$6</c:f>
              <c:numCache>
                <c:formatCode>General</c:formatCode>
                <c:ptCount val="3"/>
                <c:pt idx="0">
                  <c:v>26088</c:v>
                </c:pt>
                <c:pt idx="1">
                  <c:v>25468</c:v>
                </c:pt>
                <c:pt idx="2">
                  <c:v>24360</c:v>
                </c:pt>
              </c:numCache>
            </c:numRef>
          </c:val>
        </c:ser>
        <c:ser>
          <c:idx val="4"/>
          <c:order val="4"/>
          <c:tx>
            <c:strRef>
              <c:f>'wg wieku'!$B$7</c:f>
              <c:strCache>
                <c:ptCount val="1"/>
                <c:pt idx="0">
                  <c:v>55-59</c:v>
                </c:pt>
              </c:strCache>
            </c:strRef>
          </c:tx>
          <c:spPr>
            <a:solidFill>
              <a:srgbClr val="C00000"/>
            </a:solidFill>
          </c:spPr>
          <c:invertIfNegative val="0"/>
          <c:dLbls>
            <c:txPr>
              <a:bodyPr rot="-5400000" vert="horz"/>
              <a:lstStyle/>
              <a:p>
                <a:pPr>
                  <a:defRPr/>
                </a:pPr>
                <a:endParaRPr lang="pl-PL"/>
              </a:p>
            </c:txPr>
            <c:showLegendKey val="0"/>
            <c:showVal val="1"/>
            <c:showCatName val="0"/>
            <c:showSerName val="0"/>
            <c:showPercent val="0"/>
            <c:showBubbleSize val="0"/>
            <c:showLeaderLines val="0"/>
          </c:dLbls>
          <c:cat>
            <c:numRef>
              <c:f>'wg wieku'!$C$2:$E$2</c:f>
              <c:numCache>
                <c:formatCode>General</c:formatCode>
                <c:ptCount val="3"/>
                <c:pt idx="0">
                  <c:v>2009</c:v>
                </c:pt>
                <c:pt idx="1">
                  <c:v>2010</c:v>
                </c:pt>
                <c:pt idx="2">
                  <c:v>2011</c:v>
                </c:pt>
              </c:numCache>
            </c:numRef>
          </c:cat>
          <c:val>
            <c:numRef>
              <c:f>'wg wieku'!$C$7:$E$7</c:f>
              <c:numCache>
                <c:formatCode>General</c:formatCode>
                <c:ptCount val="3"/>
                <c:pt idx="0">
                  <c:v>8236</c:v>
                </c:pt>
                <c:pt idx="1">
                  <c:v>9534</c:v>
                </c:pt>
                <c:pt idx="2">
                  <c:v>10522</c:v>
                </c:pt>
              </c:numCache>
            </c:numRef>
          </c:val>
        </c:ser>
        <c:ser>
          <c:idx val="5"/>
          <c:order val="5"/>
          <c:tx>
            <c:strRef>
              <c:f>'wg wieku'!$B$8</c:f>
              <c:strCache>
                <c:ptCount val="1"/>
                <c:pt idx="0">
                  <c:v>60-64</c:v>
                </c:pt>
              </c:strCache>
            </c:strRef>
          </c:tx>
          <c:spPr>
            <a:solidFill>
              <a:srgbClr val="AD5B69"/>
            </a:solidFill>
          </c:spPr>
          <c:invertIfNegative val="0"/>
          <c:dLbls>
            <c:txPr>
              <a:bodyPr rot="-5400000" vert="horz"/>
              <a:lstStyle/>
              <a:p>
                <a:pPr>
                  <a:defRPr/>
                </a:pPr>
                <a:endParaRPr lang="pl-PL"/>
              </a:p>
            </c:txPr>
            <c:showLegendKey val="0"/>
            <c:showVal val="1"/>
            <c:showCatName val="0"/>
            <c:showSerName val="0"/>
            <c:showPercent val="0"/>
            <c:showBubbleSize val="0"/>
            <c:showLeaderLines val="0"/>
          </c:dLbls>
          <c:cat>
            <c:numRef>
              <c:f>'wg wieku'!$C$2:$E$2</c:f>
              <c:numCache>
                <c:formatCode>General</c:formatCode>
                <c:ptCount val="3"/>
                <c:pt idx="0">
                  <c:v>2009</c:v>
                </c:pt>
                <c:pt idx="1">
                  <c:v>2010</c:v>
                </c:pt>
                <c:pt idx="2">
                  <c:v>2011</c:v>
                </c:pt>
              </c:numCache>
            </c:numRef>
          </c:cat>
          <c:val>
            <c:numRef>
              <c:f>'wg wieku'!$C$8:$E$8</c:f>
              <c:numCache>
                <c:formatCode>General</c:formatCode>
                <c:ptCount val="3"/>
                <c:pt idx="0">
                  <c:v>1414</c:v>
                </c:pt>
                <c:pt idx="1">
                  <c:v>2000</c:v>
                </c:pt>
                <c:pt idx="2">
                  <c:v>2463</c:v>
                </c:pt>
              </c:numCache>
            </c:numRef>
          </c:val>
        </c:ser>
        <c:dLbls>
          <c:showLegendKey val="0"/>
          <c:showVal val="0"/>
          <c:showCatName val="0"/>
          <c:showSerName val="0"/>
          <c:showPercent val="0"/>
          <c:showBubbleSize val="0"/>
        </c:dLbls>
        <c:gapWidth val="150"/>
        <c:axId val="108187648"/>
        <c:axId val="108189184"/>
      </c:barChart>
      <c:catAx>
        <c:axId val="108187648"/>
        <c:scaling>
          <c:orientation val="minMax"/>
        </c:scaling>
        <c:delete val="0"/>
        <c:axPos val="b"/>
        <c:numFmt formatCode="General" sourceLinked="1"/>
        <c:majorTickMark val="out"/>
        <c:minorTickMark val="none"/>
        <c:tickLblPos val="nextTo"/>
        <c:crossAx val="108189184"/>
        <c:crosses val="autoZero"/>
        <c:auto val="1"/>
        <c:lblAlgn val="ctr"/>
        <c:lblOffset val="100"/>
        <c:noMultiLvlLbl val="0"/>
      </c:catAx>
      <c:valAx>
        <c:axId val="108189184"/>
        <c:scaling>
          <c:orientation val="minMax"/>
        </c:scaling>
        <c:delete val="0"/>
        <c:axPos val="l"/>
        <c:numFmt formatCode="#,##0" sourceLinked="0"/>
        <c:majorTickMark val="out"/>
        <c:minorTickMark val="none"/>
        <c:tickLblPos val="nextTo"/>
        <c:crossAx val="108187648"/>
        <c:crosses val="autoZero"/>
        <c:crossBetween val="between"/>
      </c:valAx>
      <c:spPr>
        <a:noFill/>
      </c:spPr>
    </c:plotArea>
    <c:legend>
      <c:legendPos val="b"/>
      <c:overlay val="0"/>
    </c:legend>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0.20499</cdr:x>
      <cdr:y>0.02772</cdr:y>
    </cdr:from>
    <cdr:to>
      <cdr:x>0.47091</cdr:x>
      <cdr:y>0.15139</cdr:y>
    </cdr:to>
    <cdr:sp macro="" textlink="">
      <cdr:nvSpPr>
        <cdr:cNvPr id="2" name="pole tekstowe 1"/>
        <cdr:cNvSpPr txBox="1"/>
      </cdr:nvSpPr>
      <cdr:spPr>
        <a:xfrm xmlns:a="http://schemas.openxmlformats.org/drawingml/2006/main">
          <a:off x="704850" y="61914"/>
          <a:ext cx="914400"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l-PL" sz="1100"/>
            <a:t>2009 rok</a:t>
          </a:r>
        </a:p>
      </cdr:txBody>
    </cdr:sp>
  </cdr:relSizeAnchor>
</c:userShapes>
</file>

<file path=word/drawings/drawing2.xml><?xml version="1.0" encoding="utf-8"?>
<c:userShapes xmlns:c="http://schemas.openxmlformats.org/drawingml/2006/chart">
  <cdr:relSizeAnchor xmlns:cdr="http://schemas.openxmlformats.org/drawingml/2006/chartDrawing">
    <cdr:from>
      <cdr:x>0.21204</cdr:x>
      <cdr:y>0.02703</cdr:y>
    </cdr:from>
    <cdr:to>
      <cdr:x>0.46335</cdr:x>
      <cdr:y>0.16008</cdr:y>
    </cdr:to>
    <cdr:sp macro="" textlink="">
      <cdr:nvSpPr>
        <cdr:cNvPr id="2" name="pole tekstowe 1"/>
        <cdr:cNvSpPr txBox="1"/>
      </cdr:nvSpPr>
      <cdr:spPr>
        <a:xfrm xmlns:a="http://schemas.openxmlformats.org/drawingml/2006/main">
          <a:off x="771524" y="61913"/>
          <a:ext cx="914400"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l-PL" sz="1100"/>
            <a:t>2010 rok</a:t>
          </a:r>
        </a:p>
      </cdr:txBody>
    </cdr:sp>
  </cdr:relSizeAnchor>
</c:userShapes>
</file>

<file path=word/drawings/drawing3.xml><?xml version="1.0" encoding="utf-8"?>
<c:userShapes xmlns:c="http://schemas.openxmlformats.org/drawingml/2006/chart">
  <cdr:relSizeAnchor xmlns:cdr="http://schemas.openxmlformats.org/drawingml/2006/chartDrawing">
    <cdr:from>
      <cdr:x>0.19167</cdr:x>
      <cdr:y>0.04573</cdr:y>
    </cdr:from>
    <cdr:to>
      <cdr:x>0.45833</cdr:x>
      <cdr:y>0.14911</cdr:y>
    </cdr:to>
    <cdr:sp macro="" textlink="">
      <cdr:nvSpPr>
        <cdr:cNvPr id="2" name="pole tekstowe 1"/>
        <cdr:cNvSpPr txBox="1"/>
      </cdr:nvSpPr>
      <cdr:spPr>
        <a:xfrm xmlns:a="http://schemas.openxmlformats.org/drawingml/2006/main">
          <a:off x="657225" y="109538"/>
          <a:ext cx="914400"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l-PL" sz="1100"/>
            <a:t>2011 rok</a:t>
          </a:r>
        </a:p>
      </cdr:txBody>
    </cdr:sp>
  </cdr:relSizeAnchor>
</c:userShapes>
</file>

<file path=word/drawings/drawing4.xml><?xml version="1.0" encoding="utf-8"?>
<c:userShapes xmlns:c="http://schemas.openxmlformats.org/drawingml/2006/chart">
  <cdr:relSizeAnchor xmlns:cdr="http://schemas.openxmlformats.org/drawingml/2006/chartDrawing">
    <cdr:from>
      <cdr:x>0.39305</cdr:x>
      <cdr:y>0.00207</cdr:y>
    </cdr:from>
    <cdr:to>
      <cdr:x>0.64973</cdr:x>
      <cdr:y>0.13458</cdr:y>
    </cdr:to>
    <cdr:sp macro="" textlink="">
      <cdr:nvSpPr>
        <cdr:cNvPr id="2" name="pole tekstowe 1"/>
        <cdr:cNvSpPr txBox="1"/>
      </cdr:nvSpPr>
      <cdr:spPr>
        <a:xfrm xmlns:a="http://schemas.openxmlformats.org/drawingml/2006/main">
          <a:off x="1400175" y="4762"/>
          <a:ext cx="914400"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l-PL" sz="1100"/>
            <a:t>2009 rok</a:t>
          </a:r>
        </a:p>
      </cdr:txBody>
    </cdr:sp>
  </cdr:relSizeAnchor>
</c:userShapes>
</file>

<file path=word/drawings/drawing5.xml><?xml version="1.0" encoding="utf-8"?>
<c:userShapes xmlns:c="http://schemas.openxmlformats.org/drawingml/2006/chart">
  <cdr:relSizeAnchor xmlns:cdr="http://schemas.openxmlformats.org/drawingml/2006/chartDrawing">
    <cdr:from>
      <cdr:x>0.40426</cdr:x>
      <cdr:y>0.02231</cdr:y>
    </cdr:from>
    <cdr:to>
      <cdr:x>0.65957</cdr:x>
      <cdr:y>0.11156</cdr:y>
    </cdr:to>
    <cdr:sp macro="" textlink="">
      <cdr:nvSpPr>
        <cdr:cNvPr id="2" name="pole tekstowe 1"/>
        <cdr:cNvSpPr txBox="1"/>
      </cdr:nvSpPr>
      <cdr:spPr>
        <a:xfrm xmlns:a="http://schemas.openxmlformats.org/drawingml/2006/main">
          <a:off x="1447800" y="52388"/>
          <a:ext cx="914400" cy="209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l-PL" sz="1100"/>
            <a:t>2010 rok</a:t>
          </a:r>
        </a:p>
      </cdr:txBody>
    </cdr:sp>
  </cdr:relSizeAnchor>
</c:userShapes>
</file>

<file path=word/drawings/drawing6.xml><?xml version="1.0" encoding="utf-8"?>
<c:userShapes xmlns:c="http://schemas.openxmlformats.org/drawingml/2006/chart">
  <cdr:relSizeAnchor xmlns:cdr="http://schemas.openxmlformats.org/drawingml/2006/chartDrawing">
    <cdr:from>
      <cdr:x>0.4235</cdr:x>
      <cdr:y>0</cdr:y>
    </cdr:from>
    <cdr:to>
      <cdr:x>0.68579</cdr:x>
      <cdr:y>0.1289</cdr:y>
    </cdr:to>
    <cdr:sp macro="" textlink="">
      <cdr:nvSpPr>
        <cdr:cNvPr id="2" name="pole tekstowe 1"/>
        <cdr:cNvSpPr txBox="1"/>
      </cdr:nvSpPr>
      <cdr:spPr>
        <a:xfrm xmlns:a="http://schemas.openxmlformats.org/drawingml/2006/main">
          <a:off x="1476374" y="0"/>
          <a:ext cx="914400" cy="2952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l-PL" sz="1100"/>
            <a:t>2011 rok</a:t>
          </a:r>
        </a:p>
      </cdr:txBody>
    </cdr:sp>
  </cdr:relSizeAnchor>
</c:userShapes>
</file>

<file path=word/drawings/drawing7.xml><?xml version="1.0" encoding="utf-8"?>
<c:userShapes xmlns:c="http://schemas.openxmlformats.org/drawingml/2006/chart">
  <cdr:relSizeAnchor xmlns:cdr="http://schemas.openxmlformats.org/drawingml/2006/chartDrawing">
    <cdr:from>
      <cdr:x>0.00127</cdr:x>
      <cdr:y>0.92722</cdr:y>
    </cdr:from>
    <cdr:to>
      <cdr:x>0.61959</cdr:x>
      <cdr:y>1</cdr:y>
    </cdr:to>
    <cdr:sp macro="" textlink="">
      <cdr:nvSpPr>
        <cdr:cNvPr id="2" name="pole tekstowe 1"/>
        <cdr:cNvSpPr txBox="1"/>
      </cdr:nvSpPr>
      <cdr:spPr>
        <a:xfrm xmlns:a="http://schemas.openxmlformats.org/drawingml/2006/main">
          <a:off x="9525" y="3276599"/>
          <a:ext cx="4629150" cy="25717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l-PL" sz="1000"/>
            <a:t>* w tym przygotowanie zawodowe  dorosłych </a:t>
          </a:r>
          <a:r>
            <a:rPr lang="pl-PL" sz="1000" baseline="0"/>
            <a:t> i  prace społecznie użyteczne</a:t>
          </a:r>
          <a:endParaRPr lang="pl-PL" sz="1000"/>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0.92405</cdr:y>
    </cdr:from>
    <cdr:to>
      <cdr:x>0.47821</cdr:x>
      <cdr:y>0.99979</cdr:y>
    </cdr:to>
    <cdr:sp macro="" textlink="">
      <cdr:nvSpPr>
        <cdr:cNvPr id="3" name="pole tekstowe 2"/>
        <cdr:cNvSpPr txBox="1"/>
      </cdr:nvSpPr>
      <cdr:spPr>
        <a:xfrm xmlns:a="http://schemas.openxmlformats.org/drawingml/2006/main">
          <a:off x="0" y="2817103"/>
          <a:ext cx="2754822" cy="2308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l-PL" sz="1000"/>
            <a:t>* w</a:t>
          </a:r>
          <a:r>
            <a:rPr lang="pl-PL" sz="1000" baseline="0"/>
            <a:t> tym przygotowanie zawodowe  dorosłych</a:t>
          </a:r>
          <a:endParaRPr lang="pl-PL" sz="1000"/>
        </a:p>
      </cdr:txBody>
    </cdr:sp>
  </cdr:relSizeAnchor>
</c:userShape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8AAE3-57BD-4A3C-996A-7F1C6FFB5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2619</TotalTime>
  <Pages>31</Pages>
  <Words>6260</Words>
  <Characters>37561</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WUP</dc:creator>
  <cp:lastModifiedBy>WUP</cp:lastModifiedBy>
  <cp:revision>244</cp:revision>
  <cp:lastPrinted>2012-07-20T07:38:00Z</cp:lastPrinted>
  <dcterms:created xsi:type="dcterms:W3CDTF">2012-06-28T06:38:00Z</dcterms:created>
  <dcterms:modified xsi:type="dcterms:W3CDTF">2012-08-29T05:36:00Z</dcterms:modified>
</cp:coreProperties>
</file>