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4"/>
        </w:rPr>
        <w:id w:val="8851606"/>
        <w:docPartObj>
          <w:docPartGallery w:val="Cover Pages"/>
          <w:docPartUnique/>
        </w:docPartObj>
      </w:sdtPr>
      <w:sdtEndPr>
        <w:rPr>
          <w:rFonts w:ascii="Arial" w:eastAsiaTheme="minorHAnsi" w:hAnsi="Arial" w:cstheme="minorBidi"/>
          <w:caps w:val="0"/>
        </w:rPr>
      </w:sdtEndPr>
      <w:sdtContent>
        <w:tbl>
          <w:tblPr>
            <w:tblW w:w="5000" w:type="pct"/>
            <w:jc w:val="center"/>
            <w:tblLook w:val="04A0"/>
          </w:tblPr>
          <w:tblGrid>
            <w:gridCol w:w="9854"/>
          </w:tblGrid>
          <w:tr w:rsidR="004C2D2E">
            <w:trPr>
              <w:trHeight w:val="2880"/>
              <w:jc w:val="center"/>
            </w:trPr>
            <w:tc>
              <w:tcPr>
                <w:tcW w:w="5000" w:type="pct"/>
              </w:tcPr>
              <w:p w:rsidR="004C2D2E" w:rsidRDefault="004C2D2E" w:rsidP="004C2D2E">
                <w:pPr>
                  <w:pStyle w:val="Bezodstpw"/>
                  <w:jc w:val="center"/>
                  <w:rPr>
                    <w:rFonts w:asciiTheme="majorHAnsi" w:eastAsiaTheme="majorEastAsia" w:hAnsiTheme="majorHAnsi" w:cstheme="majorBidi"/>
                    <w:caps/>
                  </w:rPr>
                </w:pPr>
                <w:r>
                  <w:rPr>
                    <w:rFonts w:asciiTheme="majorHAnsi" w:eastAsiaTheme="majorEastAsia" w:hAnsiTheme="majorHAnsi" w:cstheme="majorBidi"/>
                    <w:caps/>
                    <w:noProof/>
                    <w:lang w:eastAsia="pl-PL"/>
                  </w:rPr>
                  <w:drawing>
                    <wp:anchor distT="0" distB="0" distL="114300" distR="114300" simplePos="0" relativeHeight="251661312" behindDoc="0" locked="0" layoutInCell="1" allowOverlap="1">
                      <wp:simplePos x="0" y="0"/>
                      <wp:positionH relativeFrom="margin">
                        <wp:posOffset>2585720</wp:posOffset>
                      </wp:positionH>
                      <wp:positionV relativeFrom="margin">
                        <wp:posOffset>157480</wp:posOffset>
                      </wp:positionV>
                      <wp:extent cx="1012190" cy="981075"/>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1012190" cy="981075"/>
                              </a:xfrm>
                              <a:prstGeom prst="rect">
                                <a:avLst/>
                              </a:prstGeom>
                              <a:noFill/>
                              <a:ln w="9525">
                                <a:noFill/>
                                <a:miter lim="800000"/>
                                <a:headEnd/>
                                <a:tailEnd/>
                              </a:ln>
                            </pic:spPr>
                          </pic:pic>
                        </a:graphicData>
                      </a:graphic>
                    </wp:anchor>
                  </w:drawing>
                </w:r>
              </w:p>
            </w:tc>
          </w:tr>
          <w:tr w:rsidR="004C2D2E">
            <w:trPr>
              <w:trHeight w:val="1440"/>
              <w:jc w:val="center"/>
            </w:trPr>
            <w:bookmarkStart w:id="0" w:name="_GoBack" w:displacedByCustomXml="next"/>
            <w:sdt>
              <w:sdtPr>
                <w:rPr>
                  <w:rFonts w:asciiTheme="majorHAnsi" w:eastAsiaTheme="majorEastAsia" w:hAnsiTheme="majorHAnsi" w:cstheme="majorBidi"/>
                  <w:sz w:val="56"/>
                  <w:szCs w:val="56"/>
                </w:rPr>
                <w:alias w:val="Tytuł"/>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C2D2E" w:rsidRDefault="00854E60" w:rsidP="00AB4CA9">
                    <w:pPr>
                      <w:pStyle w:val="Bezodstpw"/>
                      <w:jc w:val="center"/>
                      <w:rPr>
                        <w:rFonts w:asciiTheme="majorHAnsi" w:eastAsiaTheme="majorEastAsia" w:hAnsiTheme="majorHAnsi" w:cstheme="majorBidi"/>
                        <w:sz w:val="80"/>
                        <w:szCs w:val="80"/>
                      </w:rPr>
                    </w:pPr>
                    <w:r>
                      <w:rPr>
                        <w:rFonts w:asciiTheme="majorHAnsi" w:eastAsiaTheme="majorEastAsia" w:hAnsiTheme="majorHAnsi" w:cstheme="majorBidi"/>
                        <w:sz w:val="56"/>
                        <w:szCs w:val="56"/>
                      </w:rPr>
                      <w:t>Sytuacja osób młodych na wielkopolskim rynku pracy w województwie wielkopolskim</w:t>
                    </w:r>
                  </w:p>
                </w:tc>
              </w:sdtContent>
            </w:sdt>
            <w:bookmarkEnd w:id="0" w:displacedByCustomXml="prev"/>
          </w:tr>
          <w:tr w:rsidR="004C2D2E">
            <w:trPr>
              <w:trHeight w:val="720"/>
              <w:jc w:val="center"/>
            </w:trPr>
            <w:sdt>
              <w:sdtPr>
                <w:rPr>
                  <w:rFonts w:asciiTheme="majorHAnsi" w:eastAsiaTheme="majorEastAsia" w:hAnsiTheme="majorHAnsi" w:cstheme="majorBidi"/>
                  <w:sz w:val="36"/>
                  <w:szCs w:val="36"/>
                </w:rPr>
                <w:alias w:val="Podtytuł"/>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C2D2E" w:rsidRDefault="004C2D2E" w:rsidP="00491ECD">
                    <w:pPr>
                      <w:pStyle w:val="Bezodstpw"/>
                      <w:jc w:val="center"/>
                      <w:rPr>
                        <w:rFonts w:asciiTheme="majorHAnsi" w:eastAsiaTheme="majorEastAsia" w:hAnsiTheme="majorHAnsi" w:cstheme="majorBidi"/>
                        <w:sz w:val="44"/>
                        <w:szCs w:val="44"/>
                      </w:rPr>
                    </w:pPr>
                    <w:r w:rsidRPr="004C2D2E">
                      <w:rPr>
                        <w:rFonts w:asciiTheme="majorHAnsi" w:eastAsiaTheme="majorEastAsia" w:hAnsiTheme="majorHAnsi" w:cstheme="majorBidi"/>
                        <w:sz w:val="36"/>
                        <w:szCs w:val="36"/>
                      </w:rPr>
                      <w:t xml:space="preserve">Badanie </w:t>
                    </w:r>
                    <w:r w:rsidR="00AB4CA9">
                      <w:rPr>
                        <w:rFonts w:asciiTheme="majorHAnsi" w:eastAsiaTheme="majorEastAsia" w:hAnsiTheme="majorHAnsi" w:cstheme="majorBidi"/>
                        <w:sz w:val="36"/>
                        <w:szCs w:val="36"/>
                      </w:rPr>
                      <w:t xml:space="preserve">osób bezrobotnych </w:t>
                    </w:r>
                    <w:r w:rsidR="00491ECD">
                      <w:rPr>
                        <w:rFonts w:asciiTheme="majorHAnsi" w:eastAsiaTheme="majorEastAsia" w:hAnsiTheme="majorHAnsi" w:cstheme="majorBidi"/>
                        <w:sz w:val="36"/>
                        <w:szCs w:val="36"/>
                      </w:rPr>
                      <w:t xml:space="preserve">do 34 roku życia </w:t>
                    </w:r>
                    <w:r w:rsidRPr="004C2D2E">
                      <w:rPr>
                        <w:rFonts w:asciiTheme="majorHAnsi" w:eastAsiaTheme="majorEastAsia" w:hAnsiTheme="majorHAnsi" w:cstheme="majorBidi"/>
                        <w:sz w:val="36"/>
                        <w:szCs w:val="36"/>
                      </w:rPr>
                      <w:t>realizowane za pośrednictwem powiatowych urzędów pracy województwa wielkopolskiego</w:t>
                    </w:r>
                  </w:p>
                </w:tc>
              </w:sdtContent>
            </w:sdt>
          </w:tr>
          <w:tr w:rsidR="004C2D2E">
            <w:trPr>
              <w:trHeight w:val="360"/>
              <w:jc w:val="center"/>
            </w:trPr>
            <w:tc>
              <w:tcPr>
                <w:tcW w:w="5000" w:type="pct"/>
                <w:vAlign w:val="center"/>
              </w:tcPr>
              <w:p w:rsidR="004C2D2E" w:rsidRDefault="004C2D2E">
                <w:pPr>
                  <w:pStyle w:val="Bezodstpw"/>
                  <w:jc w:val="center"/>
                </w:pPr>
              </w:p>
            </w:tc>
          </w:tr>
          <w:tr w:rsidR="004C2D2E">
            <w:trPr>
              <w:trHeight w:val="360"/>
              <w:jc w:val="center"/>
            </w:trPr>
            <w:sdt>
              <w:sdtPr>
                <w:rPr>
                  <w:rFonts w:ascii="Arial" w:hAnsi="Arial" w:cs="Arial"/>
                  <w:b/>
                  <w:bCs/>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C2D2E" w:rsidRPr="00135487" w:rsidRDefault="004C2D2E" w:rsidP="004C2D2E">
                    <w:pPr>
                      <w:pStyle w:val="Bezodstpw"/>
                      <w:jc w:val="center"/>
                      <w:rPr>
                        <w:rFonts w:ascii="Arial" w:hAnsi="Arial" w:cs="Arial"/>
                        <w:b/>
                        <w:bCs/>
                      </w:rPr>
                    </w:pPr>
                    <w:r w:rsidRPr="00135487">
                      <w:rPr>
                        <w:rFonts w:ascii="Arial" w:hAnsi="Arial" w:cs="Arial"/>
                        <w:b/>
                        <w:bCs/>
                      </w:rPr>
                      <w:t>Wielkopolskie Obserwatorium Rynku Pracy II</w:t>
                    </w:r>
                  </w:p>
                </w:tc>
              </w:sdtContent>
            </w:sdt>
          </w:tr>
          <w:tr w:rsidR="004C2D2E">
            <w:trPr>
              <w:trHeight w:val="360"/>
              <w:jc w:val="center"/>
            </w:trPr>
            <w:tc>
              <w:tcPr>
                <w:tcW w:w="5000" w:type="pct"/>
                <w:vAlign w:val="center"/>
              </w:tcPr>
              <w:p w:rsidR="004C2D2E" w:rsidRPr="00135487" w:rsidRDefault="00491ECD" w:rsidP="004C2D2E">
                <w:pPr>
                  <w:pStyle w:val="Bezodstpw"/>
                  <w:jc w:val="center"/>
                  <w:rPr>
                    <w:rFonts w:ascii="Arial" w:hAnsi="Arial" w:cs="Arial"/>
                    <w:b/>
                    <w:bCs/>
                  </w:rPr>
                </w:pPr>
                <w:r>
                  <w:rPr>
                    <w:rFonts w:ascii="Arial" w:hAnsi="Arial" w:cs="Arial"/>
                    <w:b/>
                    <w:bCs/>
                  </w:rPr>
                  <w:t>Październik</w:t>
                </w:r>
                <w:r w:rsidR="00D8117D">
                  <w:rPr>
                    <w:rFonts w:ascii="Arial" w:hAnsi="Arial" w:cs="Arial"/>
                    <w:b/>
                    <w:bCs/>
                  </w:rPr>
                  <w:t xml:space="preserve"> 2014 r.</w:t>
                </w:r>
              </w:p>
            </w:tc>
          </w:tr>
        </w:tbl>
        <w:p w:rsidR="004C2D2E" w:rsidRDefault="004C2D2E"/>
        <w:p w:rsidR="004C2D2E" w:rsidRDefault="004C2D2E"/>
        <w:tbl>
          <w:tblPr>
            <w:tblpPr w:leftFromText="187" w:rightFromText="187" w:horzAnchor="margin" w:tblpXSpec="center" w:tblpYSpec="bottom"/>
            <w:tblW w:w="5000" w:type="pct"/>
            <w:tblLook w:val="04A0"/>
          </w:tblPr>
          <w:tblGrid>
            <w:gridCol w:w="9854"/>
          </w:tblGrid>
          <w:tr w:rsidR="004C2D2E" w:rsidTr="004C2D2E">
            <w:trPr>
              <w:trHeight w:val="567"/>
            </w:trPr>
            <w:sdt>
              <w:sdtPr>
                <w:rPr>
                  <w:rFonts w:ascii="Arial" w:eastAsiaTheme="minorHAnsi" w:hAnsi="Arial"/>
                  <w:sz w:val="24"/>
                </w:rPr>
                <w:alias w:val="Streszczenie"/>
                <w:id w:val="8276291"/>
                <w:dataBinding w:prefixMappings="xmlns:ns0='http://schemas.microsoft.com/office/2006/coverPageProps'" w:xpath="/ns0:CoverPageProperties[1]/ns0:Abstract[1]" w:storeItemID="{55AF091B-3C7A-41E3-B477-F2FDAA23CFDA}"/>
                <w:text/>
              </w:sdtPr>
              <w:sdtContent>
                <w:tc>
                  <w:tcPr>
                    <w:tcW w:w="5000" w:type="pct"/>
                  </w:tcPr>
                  <w:p w:rsidR="004C2D2E" w:rsidRDefault="004C2D2E" w:rsidP="00491ECD">
                    <w:pPr>
                      <w:pStyle w:val="Bezodstpw"/>
                      <w:jc w:val="center"/>
                    </w:pPr>
                    <w:r w:rsidRPr="004C2D2E">
                      <w:rPr>
                        <w:rFonts w:ascii="Arial" w:eastAsiaTheme="minorHAnsi" w:hAnsi="Arial"/>
                        <w:sz w:val="24"/>
                      </w:rPr>
                      <w:t xml:space="preserve">Projekt współfinansowany </w:t>
                    </w:r>
                    <w:r w:rsidR="00491ECD">
                      <w:rPr>
                        <w:rFonts w:ascii="Arial" w:eastAsiaTheme="minorHAnsi" w:hAnsi="Arial"/>
                        <w:sz w:val="24"/>
                      </w:rPr>
                      <w:t>ze środków Unii Europejskiej</w:t>
                    </w:r>
                    <w:r>
                      <w:rPr>
                        <w:rFonts w:ascii="Arial" w:eastAsiaTheme="minorHAnsi" w:hAnsi="Arial"/>
                        <w:sz w:val="24"/>
                      </w:rPr>
                      <w:t xml:space="preserve"> </w:t>
                    </w:r>
                    <w:r w:rsidR="00491ECD">
                      <w:rPr>
                        <w:rFonts w:ascii="Arial" w:eastAsiaTheme="minorHAnsi" w:hAnsi="Arial"/>
                        <w:sz w:val="24"/>
                      </w:rPr>
                      <w:t>w ramach</w:t>
                    </w:r>
                    <w:r w:rsidRPr="004C2D2E">
                      <w:rPr>
                        <w:rFonts w:ascii="Arial" w:eastAsiaTheme="minorHAnsi" w:hAnsi="Arial"/>
                        <w:sz w:val="24"/>
                      </w:rPr>
                      <w:t xml:space="preserve"> Europejskiego Funduszu Społecznego</w:t>
                    </w:r>
                  </w:p>
                </w:tc>
              </w:sdtContent>
            </w:sdt>
          </w:tr>
        </w:tbl>
        <w:p w:rsidR="004C2D2E" w:rsidRDefault="004C2D2E"/>
        <w:p w:rsidR="004C2D2E" w:rsidRDefault="00202BA5" w:rsidP="004C2D2E">
          <w:pPr>
            <w:ind w:left="454"/>
          </w:pPr>
        </w:p>
      </w:sdtContent>
    </w:sdt>
    <w:p w:rsidR="004C2D2E" w:rsidRPr="004C2D2E" w:rsidRDefault="004C2D2E" w:rsidP="004C2D2E">
      <w:pPr>
        <w:ind w:left="0" w:firstLine="0"/>
        <w:rPr>
          <w:b/>
        </w:rPr>
      </w:pPr>
    </w:p>
    <w:p w:rsidR="004C2D2E" w:rsidRPr="004C2D2E" w:rsidRDefault="004C2D2E" w:rsidP="004C2D2E">
      <w:pPr>
        <w:ind w:left="0" w:firstLine="0"/>
        <w:rPr>
          <w:b/>
        </w:rPr>
      </w:pPr>
    </w:p>
    <w:p w:rsidR="004C2D2E" w:rsidRPr="004C2D2E" w:rsidRDefault="004C2D2E" w:rsidP="004C2D2E">
      <w:pPr>
        <w:ind w:left="0" w:firstLine="0"/>
        <w:rPr>
          <w:b/>
        </w:rPr>
      </w:pPr>
    </w:p>
    <w:p w:rsidR="004C2D2E" w:rsidRPr="004C2D2E" w:rsidRDefault="004C2D2E" w:rsidP="004C2D2E">
      <w:pPr>
        <w:ind w:left="0" w:firstLine="0"/>
        <w:rPr>
          <w:b/>
        </w:rPr>
      </w:pPr>
    </w:p>
    <w:p w:rsidR="004C2D2E" w:rsidRPr="004C2D2E" w:rsidRDefault="004C2D2E" w:rsidP="004C2D2E">
      <w:pPr>
        <w:ind w:left="0" w:firstLine="0"/>
      </w:pPr>
    </w:p>
    <w:tbl>
      <w:tblPr>
        <w:tblW w:w="10774" w:type="dxa"/>
        <w:tblInd w:w="-601" w:type="dxa"/>
        <w:tblLook w:val="04A0"/>
      </w:tblPr>
      <w:tblGrid>
        <w:gridCol w:w="3756"/>
        <w:gridCol w:w="3819"/>
        <w:gridCol w:w="3199"/>
      </w:tblGrid>
      <w:tr w:rsidR="004C2D2E" w:rsidRPr="004C2D2E" w:rsidTr="004C2D2E">
        <w:trPr>
          <w:trHeight w:val="1843"/>
        </w:trPr>
        <w:tc>
          <w:tcPr>
            <w:tcW w:w="3756" w:type="dxa"/>
            <w:vAlign w:val="center"/>
          </w:tcPr>
          <w:p w:rsidR="004C2D2E" w:rsidRPr="004C2D2E" w:rsidRDefault="004C2D2E" w:rsidP="004C2D2E">
            <w:pPr>
              <w:ind w:left="0" w:firstLine="0"/>
              <w:rPr>
                <w:iCs/>
              </w:rPr>
            </w:pPr>
            <w:r w:rsidRPr="004C2D2E">
              <w:rPr>
                <w:noProof/>
                <w:lang w:eastAsia="pl-PL"/>
              </w:rPr>
              <w:drawing>
                <wp:inline distT="0" distB="0" distL="0" distR="0">
                  <wp:extent cx="1854445" cy="748145"/>
                  <wp:effectExtent l="19050" t="0" r="0"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cstate="print"/>
                          <a:srcRect/>
                          <a:stretch>
                            <a:fillRect/>
                          </a:stretch>
                        </pic:blipFill>
                        <pic:spPr bwMode="auto">
                          <a:xfrm>
                            <a:off x="0" y="0"/>
                            <a:ext cx="1864233" cy="752094"/>
                          </a:xfrm>
                          <a:prstGeom prst="rect">
                            <a:avLst/>
                          </a:prstGeom>
                          <a:solidFill>
                            <a:srgbClr val="FFFFFF"/>
                          </a:solidFill>
                          <a:ln w="9525">
                            <a:noFill/>
                            <a:miter lim="800000"/>
                            <a:headEnd/>
                            <a:tailEnd/>
                          </a:ln>
                        </pic:spPr>
                      </pic:pic>
                    </a:graphicData>
                  </a:graphic>
                </wp:inline>
              </w:drawing>
            </w:r>
          </w:p>
        </w:tc>
        <w:tc>
          <w:tcPr>
            <w:tcW w:w="3819" w:type="dxa"/>
            <w:vAlign w:val="center"/>
          </w:tcPr>
          <w:p w:rsidR="004C2D2E" w:rsidRPr="004C2D2E" w:rsidRDefault="004C2D2E" w:rsidP="004C2D2E">
            <w:pPr>
              <w:ind w:left="0" w:firstLine="0"/>
              <w:jc w:val="center"/>
              <w:rPr>
                <w:iCs/>
              </w:rPr>
            </w:pPr>
            <w:r w:rsidRPr="004C2D2E">
              <w:rPr>
                <w:noProof/>
                <w:lang w:eastAsia="pl-PL"/>
              </w:rPr>
              <w:drawing>
                <wp:inline distT="0" distB="0" distL="0" distR="0">
                  <wp:extent cx="1126329" cy="427512"/>
                  <wp:effectExtent l="19050" t="0" r="0" b="0"/>
                  <wp:docPr id="13" name="Obraz 1" descr="C:\Users\Biostat\Desktop\logo WUP_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stat\Desktop\logo WUP_mn.jpg"/>
                          <pic:cNvPicPr>
                            <a:picLocks noChangeAspect="1" noChangeArrowheads="1"/>
                          </pic:cNvPicPr>
                        </pic:nvPicPr>
                        <pic:blipFill>
                          <a:blip r:embed="rId11" cstate="print"/>
                          <a:srcRect/>
                          <a:stretch>
                            <a:fillRect/>
                          </a:stretch>
                        </pic:blipFill>
                        <pic:spPr bwMode="auto">
                          <a:xfrm>
                            <a:off x="0" y="0"/>
                            <a:ext cx="1127916" cy="428114"/>
                          </a:xfrm>
                          <a:prstGeom prst="rect">
                            <a:avLst/>
                          </a:prstGeom>
                          <a:noFill/>
                          <a:ln w="9525">
                            <a:noFill/>
                            <a:miter lim="800000"/>
                            <a:headEnd/>
                            <a:tailEnd/>
                          </a:ln>
                        </pic:spPr>
                      </pic:pic>
                    </a:graphicData>
                  </a:graphic>
                </wp:inline>
              </w:drawing>
            </w:r>
          </w:p>
        </w:tc>
        <w:tc>
          <w:tcPr>
            <w:tcW w:w="3199" w:type="dxa"/>
            <w:vAlign w:val="center"/>
          </w:tcPr>
          <w:p w:rsidR="004C2D2E" w:rsidRPr="004C2D2E" w:rsidRDefault="004C2D2E" w:rsidP="0080615F">
            <w:pPr>
              <w:ind w:left="0" w:firstLine="0"/>
              <w:jc w:val="center"/>
              <w:rPr>
                <w:iCs/>
              </w:rPr>
            </w:pPr>
            <w:r w:rsidRPr="004C2D2E">
              <w:rPr>
                <w:noProof/>
                <w:lang w:eastAsia="pl-PL"/>
              </w:rPr>
              <w:drawing>
                <wp:inline distT="0" distB="0" distL="0" distR="0">
                  <wp:extent cx="1493845" cy="558140"/>
                  <wp:effectExtent l="19050" t="0" r="0" b="0"/>
                  <wp:docPr id="1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2" cstate="print"/>
                          <a:srcRect/>
                          <a:stretch>
                            <a:fillRect/>
                          </a:stretch>
                        </pic:blipFill>
                        <pic:spPr bwMode="auto">
                          <a:xfrm>
                            <a:off x="0" y="0"/>
                            <a:ext cx="1489593" cy="556551"/>
                          </a:xfrm>
                          <a:prstGeom prst="rect">
                            <a:avLst/>
                          </a:prstGeom>
                          <a:solidFill>
                            <a:srgbClr val="FFFFFF">
                              <a:alpha val="0"/>
                            </a:srgbClr>
                          </a:solidFill>
                          <a:ln w="9525">
                            <a:noFill/>
                            <a:miter lim="800000"/>
                            <a:headEnd/>
                            <a:tailEnd/>
                          </a:ln>
                        </pic:spPr>
                      </pic:pic>
                    </a:graphicData>
                  </a:graphic>
                </wp:inline>
              </w:drawing>
            </w:r>
          </w:p>
        </w:tc>
      </w:tr>
    </w:tbl>
    <w:p w:rsidR="004C2D2E" w:rsidRPr="004C2D2E" w:rsidRDefault="004C2D2E" w:rsidP="004C2D2E">
      <w:pPr>
        <w:ind w:left="0" w:firstLine="0"/>
      </w:pPr>
    </w:p>
    <w:p w:rsidR="00491ECD" w:rsidRPr="00491ECD" w:rsidRDefault="00F2757F" w:rsidP="00491ECD">
      <w:r>
        <w:br w:type="page"/>
      </w:r>
    </w:p>
    <w:p w:rsidR="00491ECD" w:rsidRDefault="00491ECD" w:rsidP="00491ECD">
      <w:pPr>
        <w:ind w:firstLine="708"/>
        <w:rPr>
          <w:rFonts w:cs="Arial"/>
        </w:rPr>
      </w:pPr>
    </w:p>
    <w:p w:rsidR="00491ECD" w:rsidRDefault="00491ECD" w:rsidP="00491ECD">
      <w:pPr>
        <w:ind w:firstLine="708"/>
        <w:rPr>
          <w:rFonts w:cs="Arial"/>
        </w:rPr>
      </w:pPr>
      <w:r>
        <w:rPr>
          <w:rFonts w:cs="Arial"/>
        </w:rPr>
        <w:t>Spośród ogółu mieszkańców województwa wielkopolskiego wg stanu na koniec 2013 roku osoby w wieku 15-34 stanowiły ponad 29%. Analizując poszczególne kategorie wiekowe, można zauważyć, że im wyższa kategoria (im starsze osoby) tym większy udział w ogóle populacji.</w:t>
      </w:r>
    </w:p>
    <w:p w:rsidR="00491ECD" w:rsidRPr="002B1183" w:rsidRDefault="00491ECD" w:rsidP="00491ECD">
      <w:pPr>
        <w:tabs>
          <w:tab w:val="right" w:pos="9354"/>
        </w:tabs>
        <w:spacing w:before="120" w:after="120"/>
        <w:rPr>
          <w:rFonts w:cs="Arial"/>
          <w:sz w:val="20"/>
          <w:szCs w:val="20"/>
        </w:rPr>
      </w:pPr>
      <w:r w:rsidRPr="002B1183">
        <w:rPr>
          <w:rFonts w:cs="Arial"/>
          <w:sz w:val="20"/>
          <w:szCs w:val="20"/>
        </w:rPr>
        <w:t>Wykres nr 1. Udział osób młodych w ogóle mieszkańców województwa wielkopolskiego 2013 r.</w:t>
      </w:r>
      <w:r>
        <w:rPr>
          <w:rFonts w:cs="Arial"/>
          <w:sz w:val="20"/>
          <w:szCs w:val="20"/>
        </w:rPr>
        <w:tab/>
      </w:r>
    </w:p>
    <w:p w:rsidR="00491ECD" w:rsidRDefault="00491ECD" w:rsidP="00491ECD">
      <w:pPr>
        <w:rPr>
          <w:rFonts w:cs="Arial"/>
        </w:rPr>
      </w:pPr>
      <w:r>
        <w:rPr>
          <w:rFonts w:cs="Arial"/>
          <w:noProof/>
          <w:lang w:eastAsia="pl-PL"/>
        </w:rPr>
        <w:drawing>
          <wp:inline distT="0" distB="0" distL="0" distR="0">
            <wp:extent cx="5825254" cy="3283216"/>
            <wp:effectExtent l="12179" t="6084" r="4567" b="0"/>
            <wp:docPr id="2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ECD" w:rsidRDefault="00491ECD" w:rsidP="00491ECD">
      <w:pPr>
        <w:spacing w:before="120" w:after="120"/>
        <w:rPr>
          <w:rFonts w:cs="Arial"/>
          <w:sz w:val="20"/>
          <w:szCs w:val="20"/>
        </w:rPr>
      </w:pPr>
      <w:r w:rsidRPr="002B1183">
        <w:rPr>
          <w:rFonts w:cs="Arial"/>
          <w:sz w:val="20"/>
          <w:szCs w:val="20"/>
        </w:rPr>
        <w:t>Źródło: Bank Danych Lokalnych, GUS</w:t>
      </w:r>
    </w:p>
    <w:p w:rsidR="00032AB5" w:rsidRDefault="00491ECD" w:rsidP="00491ECD">
      <w:pPr>
        <w:ind w:firstLine="708"/>
        <w:rPr>
          <w:rFonts w:cs="Arial"/>
        </w:rPr>
      </w:pPr>
      <w:r>
        <w:rPr>
          <w:rFonts w:cs="Arial"/>
        </w:rPr>
        <w:t xml:space="preserve">Proporcje te pokazują zmiany demograficzne, jakie następują zarówno na terenie województwa wielkopolskiego, jak i całego kraju, związane </w:t>
      </w:r>
      <w:r w:rsidR="00032AB5">
        <w:rPr>
          <w:rFonts w:cs="Arial"/>
        </w:rPr>
        <w:br/>
      </w:r>
      <w:r>
        <w:rPr>
          <w:rFonts w:cs="Arial"/>
        </w:rPr>
        <w:t xml:space="preserve">z systematycznym spadkiem liczby osób z niższych kategorii wiekowych. </w:t>
      </w:r>
      <w:r w:rsidR="00F136DA">
        <w:rPr>
          <w:rFonts w:cs="Arial"/>
        </w:rPr>
        <w:t xml:space="preserve">Sytuacja ta ma swoje bezpośrednie przełożenie na sytuację na rynku pracy ponieważ zmianie ulegną proporcje </w:t>
      </w:r>
      <w:r w:rsidR="00032AB5">
        <w:rPr>
          <w:rFonts w:cs="Arial"/>
        </w:rPr>
        <w:t xml:space="preserve">w ekonomicznych grupach wiekowych. Zgodnie </w:t>
      </w:r>
      <w:r w:rsidR="00032AB5">
        <w:rPr>
          <w:rFonts w:cs="Arial"/>
        </w:rPr>
        <w:br/>
        <w:t xml:space="preserve">z wynikami prognozy demograficznej stworzonej w ramach projektu WORP </w:t>
      </w:r>
      <w:r w:rsidR="00032AB5">
        <w:rPr>
          <w:rFonts w:cs="Arial"/>
        </w:rPr>
        <w:br/>
        <w:t xml:space="preserve">w latach 2012 – 2035 będziemy obserwować: </w:t>
      </w:r>
    </w:p>
    <w:p w:rsidR="00032AB5" w:rsidRDefault="00032AB5" w:rsidP="00032AB5">
      <w:pPr>
        <w:pStyle w:val="Akapitzlist"/>
        <w:numPr>
          <w:ilvl w:val="0"/>
          <w:numId w:val="5"/>
        </w:numPr>
        <w:rPr>
          <w:rFonts w:cs="Arial"/>
        </w:rPr>
      </w:pPr>
      <w:r>
        <w:rPr>
          <w:rFonts w:cs="Arial"/>
        </w:rPr>
        <w:t>Spadek liczby ludności w wieku produkcyjnym – średnio  o 0,4% rocznie</w:t>
      </w:r>
    </w:p>
    <w:p w:rsidR="00032AB5" w:rsidRDefault="00032AB5" w:rsidP="00032AB5">
      <w:pPr>
        <w:pStyle w:val="Akapitzlist"/>
        <w:numPr>
          <w:ilvl w:val="0"/>
          <w:numId w:val="5"/>
        </w:numPr>
        <w:rPr>
          <w:rFonts w:cs="Arial"/>
        </w:rPr>
      </w:pPr>
      <w:r>
        <w:rPr>
          <w:rFonts w:cs="Arial"/>
        </w:rPr>
        <w:t>Wzrost liczby ludności w wieku poprodukcyjnym – średnio  o 2,1% rocznie</w:t>
      </w:r>
    </w:p>
    <w:p w:rsidR="00032AB5" w:rsidRDefault="00032AB5" w:rsidP="00032AB5">
      <w:pPr>
        <w:pStyle w:val="Akapitzlist"/>
        <w:numPr>
          <w:ilvl w:val="0"/>
          <w:numId w:val="5"/>
        </w:numPr>
        <w:rPr>
          <w:rFonts w:cs="Arial"/>
        </w:rPr>
      </w:pPr>
      <w:r>
        <w:rPr>
          <w:rFonts w:cs="Arial"/>
        </w:rPr>
        <w:t xml:space="preserve">Wzrost liczby ludności w wieku przedprodukcyjnym (do roku około 2020) </w:t>
      </w:r>
      <w:r>
        <w:rPr>
          <w:rFonts w:cs="Arial"/>
        </w:rPr>
        <w:br/>
        <w:t>a w późniejszym okresie jego spadek – średnio  o 1,7% rocznie</w:t>
      </w:r>
    </w:p>
    <w:p w:rsidR="00491ECD" w:rsidRPr="00032AB5" w:rsidRDefault="00032AB5" w:rsidP="00032AB5">
      <w:pPr>
        <w:ind w:firstLine="0"/>
        <w:rPr>
          <w:rFonts w:cs="Arial"/>
        </w:rPr>
      </w:pPr>
      <w:r>
        <w:rPr>
          <w:rFonts w:cs="Arial"/>
        </w:rPr>
        <w:t xml:space="preserve">Niezależnie od przyjętego przedziału wiekowego, większość mieszkańców województwa wielkopolskiego do 34 roku życia </w:t>
      </w:r>
      <w:r w:rsidR="00491ECD" w:rsidRPr="00032AB5">
        <w:rPr>
          <w:rFonts w:cs="Arial"/>
        </w:rPr>
        <w:t xml:space="preserve">stanowią mężczyźni. Proporcje te ulegają zmianie dopiero w kolejnych kategoriach wiekowych. Mężczyźni </w:t>
      </w:r>
      <w:r w:rsidR="00491ECD" w:rsidRPr="00032AB5">
        <w:rPr>
          <w:rFonts w:cs="Arial"/>
        </w:rPr>
        <w:lastRenderedPageBreak/>
        <w:t xml:space="preserve">przewyższają liczbowo kobiety do około </w:t>
      </w:r>
      <w:r>
        <w:rPr>
          <w:rFonts w:cs="Arial"/>
        </w:rPr>
        <w:t>45</w:t>
      </w:r>
      <w:r w:rsidR="00491ECD" w:rsidRPr="00032AB5">
        <w:rPr>
          <w:rFonts w:cs="Arial"/>
        </w:rPr>
        <w:t xml:space="preserve"> roku życia, później natomiast stopniowo proporcja ta ulega wyraźnemu odwróceniu.</w:t>
      </w:r>
    </w:p>
    <w:p w:rsidR="00491ECD" w:rsidRDefault="00491ECD" w:rsidP="00491ECD">
      <w:pPr>
        <w:spacing w:before="120" w:after="120"/>
        <w:rPr>
          <w:rFonts w:cs="Arial"/>
        </w:rPr>
      </w:pPr>
      <w:r>
        <w:rPr>
          <w:rFonts w:cs="Arial"/>
          <w:sz w:val="20"/>
          <w:szCs w:val="20"/>
        </w:rPr>
        <w:t>Wykres nr 2</w:t>
      </w:r>
      <w:r w:rsidRPr="002B1183">
        <w:rPr>
          <w:rFonts w:cs="Arial"/>
          <w:sz w:val="20"/>
          <w:szCs w:val="20"/>
        </w:rPr>
        <w:t>. Udział</w:t>
      </w:r>
      <w:r>
        <w:rPr>
          <w:rFonts w:cs="Arial"/>
          <w:sz w:val="20"/>
          <w:szCs w:val="20"/>
        </w:rPr>
        <w:t xml:space="preserve"> kobiet i mężczyzn w poszczególnych przedziałach wiekowych w </w:t>
      </w:r>
      <w:r w:rsidRPr="002B1183">
        <w:rPr>
          <w:rFonts w:cs="Arial"/>
          <w:sz w:val="20"/>
          <w:szCs w:val="20"/>
        </w:rPr>
        <w:t>województw</w:t>
      </w:r>
      <w:r>
        <w:rPr>
          <w:rFonts w:cs="Arial"/>
          <w:sz w:val="20"/>
          <w:szCs w:val="20"/>
        </w:rPr>
        <w:t>ie</w:t>
      </w:r>
      <w:r w:rsidRPr="002B1183">
        <w:rPr>
          <w:rFonts w:cs="Arial"/>
          <w:sz w:val="20"/>
          <w:szCs w:val="20"/>
        </w:rPr>
        <w:t xml:space="preserve"> wielkopolski</w:t>
      </w:r>
      <w:r>
        <w:rPr>
          <w:rFonts w:cs="Arial"/>
          <w:sz w:val="20"/>
          <w:szCs w:val="20"/>
        </w:rPr>
        <w:t>m</w:t>
      </w:r>
      <w:r w:rsidRPr="002B1183">
        <w:rPr>
          <w:rFonts w:cs="Arial"/>
          <w:sz w:val="20"/>
          <w:szCs w:val="20"/>
        </w:rPr>
        <w:t xml:space="preserve"> 2013 r.</w:t>
      </w:r>
    </w:p>
    <w:p w:rsidR="00491ECD" w:rsidRDefault="00491ECD" w:rsidP="00491ECD">
      <w:pPr>
        <w:rPr>
          <w:rFonts w:cs="Arial"/>
          <w:noProof/>
        </w:rPr>
      </w:pPr>
      <w:r>
        <w:rPr>
          <w:rFonts w:cs="Arial"/>
          <w:noProof/>
          <w:lang w:eastAsia="pl-PL"/>
        </w:rPr>
        <w:drawing>
          <wp:inline distT="0" distB="0" distL="0" distR="0">
            <wp:extent cx="5825254" cy="3041904"/>
            <wp:effectExtent l="12179" t="6096" r="4567" b="0"/>
            <wp:docPr id="2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1ECD" w:rsidRDefault="00491ECD" w:rsidP="00491ECD">
      <w:pPr>
        <w:spacing w:before="120" w:after="120"/>
        <w:rPr>
          <w:rFonts w:cs="Arial"/>
          <w:sz w:val="20"/>
          <w:szCs w:val="20"/>
        </w:rPr>
      </w:pPr>
      <w:r w:rsidRPr="002B1183">
        <w:rPr>
          <w:rFonts w:cs="Arial"/>
          <w:sz w:val="20"/>
          <w:szCs w:val="20"/>
        </w:rPr>
        <w:t>Źródło: Bank Danych Lokalnych, GUS</w:t>
      </w:r>
    </w:p>
    <w:p w:rsidR="00491ECD" w:rsidRPr="002F05A4" w:rsidRDefault="00491ECD" w:rsidP="00491ECD">
      <w:pPr>
        <w:ind w:firstLine="708"/>
        <w:rPr>
          <w:rFonts w:cs="Arial"/>
        </w:rPr>
      </w:pPr>
      <w:r>
        <w:rPr>
          <w:rFonts w:cs="Arial"/>
        </w:rPr>
        <w:t>W 2013 r. w województwie wielkopolskim p</w:t>
      </w:r>
      <w:r w:rsidRPr="002F05A4">
        <w:rPr>
          <w:rFonts w:cs="Arial"/>
        </w:rPr>
        <w:t xml:space="preserve">onad połowa </w:t>
      </w:r>
      <w:r>
        <w:rPr>
          <w:rFonts w:cs="Arial"/>
        </w:rPr>
        <w:t xml:space="preserve">osób w wieku 20-34 mieszkała w miastach. </w:t>
      </w:r>
      <w:r w:rsidR="00C47364">
        <w:rPr>
          <w:rFonts w:cs="Arial"/>
        </w:rPr>
        <w:t xml:space="preserve">Analizując zjawisko to w kontekście lat ubiegłych </w:t>
      </w:r>
      <w:r>
        <w:rPr>
          <w:rFonts w:cs="Arial"/>
        </w:rPr>
        <w:t xml:space="preserve">można zauważyć, że stopniowo zwiększa się liczba osób młodych zamieszkujących tereny wiejskie. Tendencję tę widać w prawie każdej kategorii wiekowej, jednak najwidoczniejsza jest ona w grupie osób w wieku 20-24. Grupą osób która w zdecydowanej większość mieszka w miastach są osoby w wieku 65 lat i więcej. W odniesieniu do tej kategorii w porównaniu z latami ubiegłymi zaobserwowano konsekwentny wzrost liczby osób mieszkający w miastach. </w:t>
      </w:r>
    </w:p>
    <w:p w:rsidR="00491ECD" w:rsidRDefault="00491ECD" w:rsidP="00491ECD">
      <w:pPr>
        <w:rPr>
          <w:rFonts w:cs="Arial"/>
          <w:b/>
        </w:rPr>
      </w:pPr>
    </w:p>
    <w:p w:rsidR="00491ECD" w:rsidRDefault="00491ECD" w:rsidP="00491ECD">
      <w:pPr>
        <w:rPr>
          <w:rFonts w:cs="Arial"/>
          <w:b/>
        </w:rPr>
      </w:pPr>
      <w:r w:rsidRPr="00C93922">
        <w:rPr>
          <w:rFonts w:cs="Arial"/>
          <w:b/>
        </w:rPr>
        <w:t xml:space="preserve">Uczniowie w ujęciu </w:t>
      </w:r>
      <w:r>
        <w:rPr>
          <w:rFonts w:cs="Arial"/>
          <w:b/>
        </w:rPr>
        <w:t xml:space="preserve">danych statystycznych oraz </w:t>
      </w:r>
      <w:r w:rsidRPr="00C93922">
        <w:rPr>
          <w:rFonts w:cs="Arial"/>
          <w:b/>
        </w:rPr>
        <w:t>Badania BKL</w:t>
      </w:r>
    </w:p>
    <w:p w:rsidR="00491ECD" w:rsidRPr="00C93922" w:rsidRDefault="00491ECD" w:rsidP="00491ECD">
      <w:pPr>
        <w:rPr>
          <w:rFonts w:cs="Arial"/>
          <w:b/>
        </w:rPr>
      </w:pPr>
    </w:p>
    <w:p w:rsidR="00491ECD" w:rsidRDefault="00491ECD" w:rsidP="00491ECD">
      <w:pPr>
        <w:ind w:firstLine="708"/>
        <w:rPr>
          <w:rFonts w:cs="Arial"/>
        </w:rPr>
      </w:pPr>
      <w:r>
        <w:rPr>
          <w:rFonts w:cs="Arial"/>
        </w:rPr>
        <w:t xml:space="preserve">W roku szkolnym 2013/2014 w województwie wielkopolskim do szkół podstawowych uczęszczało </w:t>
      </w:r>
      <w:r w:rsidRPr="00954140">
        <w:rPr>
          <w:rFonts w:cs="Arial"/>
        </w:rPr>
        <w:t>207</w:t>
      </w:r>
      <w:r>
        <w:rPr>
          <w:rFonts w:cs="Arial"/>
        </w:rPr>
        <w:t> </w:t>
      </w:r>
      <w:r w:rsidRPr="00954140">
        <w:rPr>
          <w:rFonts w:cs="Arial"/>
        </w:rPr>
        <w:t>974</w:t>
      </w:r>
      <w:r>
        <w:rPr>
          <w:rFonts w:cs="Arial"/>
        </w:rPr>
        <w:t xml:space="preserve"> uczniów, do gimnazjów natomiast </w:t>
      </w:r>
      <w:r w:rsidRPr="00954140">
        <w:rPr>
          <w:rFonts w:cs="Arial"/>
        </w:rPr>
        <w:t>108</w:t>
      </w:r>
      <w:r>
        <w:rPr>
          <w:rFonts w:cs="Arial"/>
        </w:rPr>
        <w:t> </w:t>
      </w:r>
      <w:r w:rsidRPr="00954140">
        <w:rPr>
          <w:rFonts w:cs="Arial"/>
        </w:rPr>
        <w:t>161</w:t>
      </w:r>
      <w:r>
        <w:rPr>
          <w:rFonts w:cs="Arial"/>
        </w:rPr>
        <w:t>. Spośród szkół ponadgimnazjalnych najwięcej uczniów uczęszczało do techników(46 523) oraz liceów ogólnokształcących (46 466). Do zasadniczych szkół zawodowych uczęszczało 22 688 osób. Szczegółowe informacje dotyczące liczby uczniów w poszczególnych typach szkół zawiera poniższa tabela.</w:t>
      </w:r>
    </w:p>
    <w:p w:rsidR="00491ECD" w:rsidRPr="00183ACB" w:rsidRDefault="00491ECD" w:rsidP="00491ECD">
      <w:pPr>
        <w:spacing w:before="120" w:after="120"/>
        <w:rPr>
          <w:rFonts w:cs="Arial"/>
          <w:sz w:val="20"/>
          <w:szCs w:val="20"/>
        </w:rPr>
      </w:pPr>
      <w:r w:rsidRPr="00183ACB">
        <w:rPr>
          <w:rFonts w:cs="Arial"/>
          <w:sz w:val="20"/>
          <w:szCs w:val="20"/>
        </w:rPr>
        <w:lastRenderedPageBreak/>
        <w:t>Tabela nr 1. Uczniowie wg szkół w województwie wielkopolskim w roku szkolnym 2013/2014.</w:t>
      </w:r>
    </w:p>
    <w:tbl>
      <w:tblPr>
        <w:tblW w:w="10080" w:type="dxa"/>
        <w:tblInd w:w="55" w:type="dxa"/>
        <w:tblCellMar>
          <w:left w:w="70" w:type="dxa"/>
          <w:right w:w="70" w:type="dxa"/>
        </w:tblCellMar>
        <w:tblLook w:val="04A0"/>
      </w:tblPr>
      <w:tblGrid>
        <w:gridCol w:w="8379"/>
        <w:gridCol w:w="1701"/>
      </w:tblGrid>
      <w:tr w:rsidR="00491ECD" w:rsidRPr="008E1833" w:rsidTr="0071569D">
        <w:tc>
          <w:tcPr>
            <w:tcW w:w="8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ECD" w:rsidRPr="006740F5" w:rsidRDefault="00491ECD" w:rsidP="0071569D">
            <w:pPr>
              <w:spacing w:before="60" w:after="60"/>
              <w:rPr>
                <w:rFonts w:cs="Arial"/>
                <w:b/>
                <w:color w:val="000000"/>
                <w:sz w:val="18"/>
                <w:szCs w:val="18"/>
              </w:rPr>
            </w:pPr>
            <w:r w:rsidRPr="006740F5">
              <w:rPr>
                <w:rFonts w:cs="Arial"/>
                <w:b/>
                <w:color w:val="000000"/>
                <w:sz w:val="18"/>
                <w:szCs w:val="18"/>
              </w:rPr>
              <w:t>Rodzaj szkoły</w:t>
            </w:r>
          </w:p>
        </w:tc>
        <w:tc>
          <w:tcPr>
            <w:tcW w:w="1701" w:type="dxa"/>
            <w:tcBorders>
              <w:top w:val="single" w:sz="4" w:space="0" w:color="auto"/>
              <w:left w:val="single" w:sz="4" w:space="0" w:color="auto"/>
              <w:bottom w:val="single" w:sz="4" w:space="0" w:color="auto"/>
              <w:right w:val="single" w:sz="4" w:space="0" w:color="auto"/>
            </w:tcBorders>
            <w:vAlign w:val="center"/>
          </w:tcPr>
          <w:p w:rsidR="00491ECD" w:rsidRPr="006740F5" w:rsidRDefault="00491ECD" w:rsidP="0071569D">
            <w:pPr>
              <w:spacing w:before="60" w:after="60"/>
              <w:jc w:val="center"/>
              <w:rPr>
                <w:rFonts w:cs="Arial"/>
                <w:b/>
                <w:color w:val="000000"/>
                <w:sz w:val="18"/>
                <w:szCs w:val="18"/>
              </w:rPr>
            </w:pPr>
            <w:r w:rsidRPr="006740F5">
              <w:rPr>
                <w:rFonts w:cs="Arial"/>
                <w:b/>
                <w:color w:val="000000"/>
                <w:sz w:val="18"/>
                <w:szCs w:val="18"/>
              </w:rPr>
              <w:t>Liczba uczniów</w:t>
            </w:r>
          </w:p>
        </w:tc>
      </w:tr>
      <w:tr w:rsidR="00491ECD" w:rsidRPr="008E1833" w:rsidTr="0071569D">
        <w:tc>
          <w:tcPr>
            <w:tcW w:w="8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Szkoła podstawowa</w:t>
            </w:r>
          </w:p>
        </w:tc>
        <w:tc>
          <w:tcPr>
            <w:tcW w:w="1701" w:type="dxa"/>
            <w:tcBorders>
              <w:top w:val="single" w:sz="4" w:space="0" w:color="auto"/>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207 974</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Gimnazjum</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108 161</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Zasadnicza szkoła zawodowa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22 688</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Liceum ogólnokształcące</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46 466</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Liceum profilowane</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608</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Technikum</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46 523</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Technikum uzupełniające dla absolwentów zasadniczych szkół zawodowych</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39</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Szkoła policealna (ponadgimnazjalna)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2 359</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Szkoła specjalna przysposabiająca do pracy dla uczniów z upośledzeniem umysłowym w stopniu umiarkowanym lub znacznym oraz dla uczniów z  więcej niż jedną niepełnosprawnością</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955</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Sześcioletnia ogólnokształcąca szkoła muzyczna I stopnia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743</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Sześcioletnia ogólnokształcąca szkoła muzyczna II stopnia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361</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Sześcioletnia szkoła muzyczna II stopnia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600</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Czteroletnie liceum plastyczne</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400</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Dziewięcioletnia ogólnokształcąca szkoła baletowa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178</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Sześcioletnia szkoła sztuki tańca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42</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Czteroletnia szkoła muzyczna II stopnia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63</w:t>
            </w:r>
          </w:p>
        </w:tc>
      </w:tr>
      <w:tr w:rsidR="00491ECD" w:rsidRPr="008E1833" w:rsidTr="0071569D">
        <w:tc>
          <w:tcPr>
            <w:tcW w:w="8379" w:type="dxa"/>
            <w:tcBorders>
              <w:top w:val="nil"/>
              <w:left w:val="single" w:sz="4" w:space="0" w:color="auto"/>
              <w:bottom w:val="single" w:sz="4" w:space="0" w:color="auto"/>
              <w:right w:val="single" w:sz="4" w:space="0" w:color="auto"/>
            </w:tcBorders>
            <w:shd w:val="clear" w:color="auto" w:fill="auto"/>
            <w:vAlign w:val="center"/>
            <w:hideMark/>
          </w:tcPr>
          <w:p w:rsidR="00491ECD" w:rsidRPr="008E1833" w:rsidRDefault="00491ECD" w:rsidP="0071569D">
            <w:pPr>
              <w:spacing w:before="60" w:after="60"/>
              <w:rPr>
                <w:rFonts w:cs="Arial"/>
                <w:color w:val="000000"/>
                <w:sz w:val="18"/>
                <w:szCs w:val="18"/>
              </w:rPr>
            </w:pPr>
            <w:r w:rsidRPr="008E1833">
              <w:rPr>
                <w:rFonts w:cs="Arial"/>
                <w:color w:val="000000"/>
                <w:sz w:val="18"/>
                <w:szCs w:val="18"/>
              </w:rPr>
              <w:t>Poznańska szkoła chóralna</w:t>
            </w:r>
          </w:p>
        </w:tc>
        <w:tc>
          <w:tcPr>
            <w:tcW w:w="1701" w:type="dxa"/>
            <w:tcBorders>
              <w:top w:val="nil"/>
              <w:left w:val="single" w:sz="4" w:space="0" w:color="auto"/>
              <w:bottom w:val="single" w:sz="4" w:space="0" w:color="auto"/>
              <w:right w:val="single" w:sz="4" w:space="0" w:color="auto"/>
            </w:tcBorders>
            <w:vAlign w:val="center"/>
          </w:tcPr>
          <w:p w:rsidR="00491ECD" w:rsidRPr="008E1833" w:rsidRDefault="00491ECD" w:rsidP="0071569D">
            <w:pPr>
              <w:spacing w:before="60" w:after="60"/>
              <w:jc w:val="right"/>
              <w:rPr>
                <w:rFonts w:cs="Arial"/>
                <w:color w:val="000000"/>
                <w:sz w:val="18"/>
                <w:szCs w:val="18"/>
              </w:rPr>
            </w:pPr>
            <w:r w:rsidRPr="008E1833">
              <w:rPr>
                <w:rFonts w:cs="Arial"/>
                <w:color w:val="000000"/>
                <w:sz w:val="18"/>
                <w:szCs w:val="18"/>
              </w:rPr>
              <w:t>180</w:t>
            </w:r>
          </w:p>
        </w:tc>
      </w:tr>
    </w:tbl>
    <w:p w:rsidR="00491ECD" w:rsidRDefault="00491ECD" w:rsidP="00491ECD">
      <w:pPr>
        <w:tabs>
          <w:tab w:val="center" w:pos="4677"/>
        </w:tabs>
        <w:spacing w:before="120" w:after="120"/>
        <w:rPr>
          <w:rFonts w:cs="Arial"/>
          <w:sz w:val="20"/>
          <w:szCs w:val="20"/>
        </w:rPr>
      </w:pPr>
      <w:r w:rsidRPr="00183ACB">
        <w:rPr>
          <w:rFonts w:cs="Arial"/>
          <w:sz w:val="20"/>
          <w:szCs w:val="20"/>
        </w:rPr>
        <w:t>Źródło: Centrum Informatyczne Edukacji, SIO.</w:t>
      </w:r>
      <w:r>
        <w:rPr>
          <w:rFonts w:cs="Arial"/>
          <w:sz w:val="20"/>
          <w:szCs w:val="20"/>
        </w:rPr>
        <w:tab/>
      </w:r>
    </w:p>
    <w:p w:rsidR="00491ECD" w:rsidRDefault="00491ECD" w:rsidP="00491ECD">
      <w:pPr>
        <w:ind w:firstLine="708"/>
        <w:rPr>
          <w:rFonts w:cs="Arial"/>
        </w:rPr>
      </w:pPr>
      <w:r w:rsidRPr="00BB1759">
        <w:rPr>
          <w:rFonts w:cs="Arial"/>
        </w:rPr>
        <w:t xml:space="preserve">Wg stanu na 30 września </w:t>
      </w:r>
      <w:r>
        <w:rPr>
          <w:rFonts w:cs="Arial"/>
        </w:rPr>
        <w:t>2013 r. szkołę podstawową w woje</w:t>
      </w:r>
      <w:r w:rsidR="00FA74A6">
        <w:rPr>
          <w:rFonts w:cs="Arial"/>
        </w:rPr>
        <w:t>wództwie wielkopolskim ukończyło</w:t>
      </w:r>
      <w:r>
        <w:rPr>
          <w:rFonts w:cs="Arial"/>
        </w:rPr>
        <w:t xml:space="preserve"> 34 460 osób. Jest to liczba porównywalna do roku ubiegłego oraz niższa niż w latach wcześniejszych. W przypadku gimnazjów, w ciągu ostatnich 4 lat liczba absolwentów regularnie się zmniejsza. W 2013 r. liczba absolwentów gimnazjów wyniosła 36 634 (tj. o 0</w:t>
      </w:r>
      <w:r w:rsidR="00FA74A6">
        <w:rPr>
          <w:rFonts w:cs="Arial"/>
        </w:rPr>
        <w:t>,</w:t>
      </w:r>
      <w:r>
        <w:rPr>
          <w:rFonts w:cs="Arial"/>
        </w:rPr>
        <w:t xml:space="preserve">4% mniej niż w roku poprzednim oraz </w:t>
      </w:r>
      <w:r w:rsidR="00FA74A6">
        <w:rPr>
          <w:rFonts w:cs="Arial"/>
        </w:rPr>
        <w:t xml:space="preserve">o </w:t>
      </w:r>
      <w:r>
        <w:rPr>
          <w:rFonts w:cs="Arial"/>
        </w:rPr>
        <w:t xml:space="preserve">9% mniej niż w 2010 r.). </w:t>
      </w:r>
    </w:p>
    <w:p w:rsidR="00491ECD" w:rsidRDefault="00491ECD" w:rsidP="00491ECD">
      <w:pPr>
        <w:ind w:firstLine="708"/>
        <w:rPr>
          <w:rFonts w:cs="Arial"/>
        </w:rPr>
      </w:pPr>
      <w:r>
        <w:rPr>
          <w:rFonts w:cs="Arial"/>
        </w:rPr>
        <w:t>W przypadku szkół ponadgimnazjalnych w województwie wielkopolskim w 2013 r. najwięcej osób ukończyło licea ogólnokształcące (43% wszystkich absolwentów szkół ponadgimnazjalnych). Najmniej osób ukończyło licea profilowane,</w:t>
      </w:r>
      <w:r w:rsidRPr="00491ECD">
        <w:rPr>
          <w:rFonts w:cs="Arial"/>
        </w:rPr>
        <w:t xml:space="preserve"> </w:t>
      </w:r>
      <w:r>
        <w:rPr>
          <w:rFonts w:cs="Arial"/>
        </w:rPr>
        <w:t xml:space="preserve">technika i licea uzupełniające co jest związane z likwidacją tego typu szkół w 2012 r. Na przestrzeni ostatnich 4 lat struktura absolwentów była podobna jak w roku 2013 r. Można zauważyć, niewielki wzrost absolwentów techników oraz </w:t>
      </w:r>
      <w:r>
        <w:rPr>
          <w:rFonts w:cs="Arial"/>
        </w:rPr>
        <w:lastRenderedPageBreak/>
        <w:t xml:space="preserve">liceów ogólnokształcących, przy niewielkim spadku absolwentów zasadniczych szkół zawodowych. </w:t>
      </w:r>
    </w:p>
    <w:p w:rsidR="00491ECD" w:rsidRPr="004E09BC" w:rsidRDefault="00491ECD" w:rsidP="00491ECD">
      <w:pPr>
        <w:spacing w:before="120" w:after="120"/>
        <w:rPr>
          <w:rFonts w:cs="Arial"/>
          <w:sz w:val="20"/>
          <w:szCs w:val="20"/>
        </w:rPr>
      </w:pPr>
      <w:r w:rsidRPr="004E09BC">
        <w:rPr>
          <w:rFonts w:cs="Arial"/>
          <w:sz w:val="20"/>
          <w:szCs w:val="20"/>
        </w:rPr>
        <w:t xml:space="preserve">Wykres nr </w:t>
      </w:r>
      <w:r>
        <w:rPr>
          <w:rFonts w:cs="Arial"/>
          <w:sz w:val="20"/>
          <w:szCs w:val="20"/>
        </w:rPr>
        <w:t>3</w:t>
      </w:r>
      <w:r w:rsidRPr="004E09BC">
        <w:rPr>
          <w:rFonts w:cs="Arial"/>
          <w:sz w:val="20"/>
          <w:szCs w:val="20"/>
        </w:rPr>
        <w:t xml:space="preserve">. Udział absolwentów poszczególnych szkół </w:t>
      </w:r>
      <w:r>
        <w:rPr>
          <w:rFonts w:cs="Arial"/>
          <w:sz w:val="20"/>
          <w:szCs w:val="20"/>
        </w:rPr>
        <w:t xml:space="preserve">ponadgimnazjalnych w </w:t>
      </w:r>
      <w:r w:rsidRPr="004E09BC">
        <w:rPr>
          <w:rFonts w:cs="Arial"/>
          <w:sz w:val="20"/>
          <w:szCs w:val="20"/>
        </w:rPr>
        <w:t>ogólnej liczbie absolwentów szkół ponadgimnazjalnych</w:t>
      </w:r>
      <w:r>
        <w:rPr>
          <w:rFonts w:cs="Arial"/>
          <w:sz w:val="20"/>
          <w:szCs w:val="20"/>
        </w:rPr>
        <w:t xml:space="preserve"> w 2013 r</w:t>
      </w:r>
      <w:r w:rsidRPr="004E09BC">
        <w:rPr>
          <w:rFonts w:cs="Arial"/>
          <w:sz w:val="20"/>
          <w:szCs w:val="20"/>
        </w:rPr>
        <w:t>.</w:t>
      </w:r>
      <w:r>
        <w:rPr>
          <w:rFonts w:cs="Arial"/>
          <w:sz w:val="20"/>
          <w:szCs w:val="20"/>
        </w:rPr>
        <w:t xml:space="preserve"> w województwie wielkopolskim.</w:t>
      </w:r>
    </w:p>
    <w:p w:rsidR="00491ECD" w:rsidRDefault="00491ECD" w:rsidP="00491ECD">
      <w:pPr>
        <w:rPr>
          <w:rFonts w:cs="Arial"/>
        </w:rPr>
      </w:pPr>
      <w:r>
        <w:rPr>
          <w:rFonts w:cs="Arial"/>
          <w:noProof/>
          <w:lang w:eastAsia="pl-PL"/>
        </w:rPr>
        <w:drawing>
          <wp:inline distT="0" distB="0" distL="0" distR="0">
            <wp:extent cx="5760222" cy="3014659"/>
            <wp:effectExtent l="12185" t="6102" r="6093" b="1839"/>
            <wp:docPr id="2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1ECD" w:rsidRDefault="00491ECD" w:rsidP="00491ECD">
      <w:pPr>
        <w:spacing w:before="120" w:after="120"/>
        <w:rPr>
          <w:rFonts w:cs="Arial"/>
          <w:sz w:val="20"/>
          <w:szCs w:val="20"/>
        </w:rPr>
      </w:pPr>
      <w:r w:rsidRPr="00183ACB">
        <w:rPr>
          <w:rFonts w:cs="Arial"/>
          <w:sz w:val="20"/>
          <w:szCs w:val="20"/>
        </w:rPr>
        <w:t>Źródło: Centrum Informatyczne Edukacji, SIO.</w:t>
      </w:r>
    </w:p>
    <w:p w:rsidR="00491ECD" w:rsidRDefault="00491ECD" w:rsidP="00491ECD">
      <w:pPr>
        <w:ind w:firstLine="708"/>
        <w:rPr>
          <w:rFonts w:cs="Arial"/>
        </w:rPr>
      </w:pPr>
      <w:r>
        <w:rPr>
          <w:rFonts w:cs="Arial"/>
        </w:rPr>
        <w:t>Zgodnie z wynikami uzyskanymi na podstawie badania Bilans Kapitału Ludzkiego realizowanego w 2010 i 2013 r., obejmującego swym zasięgiem uczniów szkół ponadgimnazjalnych, ponad 60% przebadanych uczniów stwierdziło, że nie żałuje swojej decyzji dotyczącej wyboru i szkoły i gdyby miało wybierać jeszcze raz dokonałoby tego samego wyboru. Zapytani o swoje plany zawodowe co piąty uczeń nie potrafił określić w jakim zawodzie chciałby pracować w przyszłości. W dalszej kolejności, uczniowie wskazywali na takie zawody jak: informatyk (6,7%), policjant (3,5%), nauczyciel (3,4%), księgowa (2,9%) czy logistyk (2,4%).</w:t>
      </w:r>
      <w:r w:rsidRPr="00E84759">
        <w:rPr>
          <w:rFonts w:cs="Arial"/>
        </w:rPr>
        <w:t xml:space="preserve"> </w:t>
      </w:r>
      <w:r>
        <w:rPr>
          <w:rFonts w:cs="Arial"/>
        </w:rPr>
        <w:t>Ponad 70% dopuszcza możliwość wyjazdu za granicę po ukończeniu nauki w celach zarobkowych.</w:t>
      </w:r>
    </w:p>
    <w:p w:rsidR="00491ECD" w:rsidRDefault="00491ECD" w:rsidP="00491ECD">
      <w:pPr>
        <w:ind w:firstLine="708"/>
        <w:rPr>
          <w:rFonts w:cs="Arial"/>
        </w:rPr>
      </w:pPr>
      <w:r>
        <w:rPr>
          <w:rFonts w:cs="Arial"/>
        </w:rPr>
        <w:t xml:space="preserve">Około 62% przebadanych uczniów uczestniczyło w dodatkowych szkoleniach/kursach. W większości uczniowie mówiąc o kursach mieli na myśli korepetycje z przedmiotów szkolnych, kursy językowe oraz zajęcia dotyczące ich zainteresowań. </w:t>
      </w:r>
    </w:p>
    <w:p w:rsidR="00491ECD" w:rsidRDefault="00491ECD" w:rsidP="00491ECD">
      <w:pPr>
        <w:ind w:firstLine="708"/>
        <w:rPr>
          <w:rFonts w:cs="Arial"/>
        </w:rPr>
      </w:pPr>
      <w:r>
        <w:rPr>
          <w:rFonts w:cs="Arial"/>
        </w:rPr>
        <w:t xml:space="preserve">W ramach badania uczniowie mieli również ocenić własne predyspozycje pod kontem wybranych umiejętności. Spośród wszystkich umiejętności uczniowie wskazywali na posiadanie wysokich predyspozycji w zakresie takich umiejętności jak: </w:t>
      </w:r>
      <w:r w:rsidRPr="00711D4B">
        <w:rPr>
          <w:rFonts w:cs="Arial"/>
        </w:rPr>
        <w:t>obsługa komputera i wykorzystanie Internetu</w:t>
      </w:r>
      <w:r>
        <w:rPr>
          <w:rFonts w:cs="Arial"/>
        </w:rPr>
        <w:t xml:space="preserve"> (79,7% określiło swój poziom </w:t>
      </w:r>
      <w:r>
        <w:rPr>
          <w:rFonts w:cs="Arial"/>
        </w:rPr>
        <w:lastRenderedPageBreak/>
        <w:t xml:space="preserve">jako wysoki lub bardzo wysoki), </w:t>
      </w:r>
      <w:r w:rsidRPr="00711D4B">
        <w:rPr>
          <w:rFonts w:cs="Arial"/>
        </w:rPr>
        <w:t>kontakty z innymi ludźmi, z którymi wspólnie wykonuje się zadania</w:t>
      </w:r>
      <w:r>
        <w:rPr>
          <w:rFonts w:cs="Arial"/>
        </w:rPr>
        <w:t xml:space="preserve"> (78,4%</w:t>
      </w:r>
      <w:r w:rsidRPr="002F51A6">
        <w:rPr>
          <w:rFonts w:cs="Arial"/>
        </w:rPr>
        <w:t xml:space="preserve"> </w:t>
      </w:r>
      <w:r>
        <w:rPr>
          <w:rFonts w:cs="Arial"/>
        </w:rPr>
        <w:t xml:space="preserve">określiło swój poziom jako wysoki lub bardzo wysoki), </w:t>
      </w:r>
      <w:r w:rsidRPr="00711D4B">
        <w:rPr>
          <w:rFonts w:cs="Arial"/>
        </w:rPr>
        <w:t>współpraca w grupie</w:t>
      </w:r>
      <w:r>
        <w:rPr>
          <w:rFonts w:cs="Arial"/>
        </w:rPr>
        <w:t xml:space="preserve"> (78,1%</w:t>
      </w:r>
      <w:r w:rsidRPr="002F51A6">
        <w:rPr>
          <w:rFonts w:cs="Arial"/>
        </w:rPr>
        <w:t xml:space="preserve"> </w:t>
      </w:r>
      <w:r>
        <w:rPr>
          <w:rFonts w:cs="Arial"/>
        </w:rPr>
        <w:t xml:space="preserve">określiło swój poziom jako wysoki lub bardzo wysoki), </w:t>
      </w:r>
      <w:r w:rsidRPr="00711D4B">
        <w:rPr>
          <w:rFonts w:cs="Arial"/>
        </w:rPr>
        <w:t>dyspozycyjność</w:t>
      </w:r>
      <w:r>
        <w:rPr>
          <w:rFonts w:cs="Arial"/>
        </w:rPr>
        <w:t xml:space="preserve"> (70,4%</w:t>
      </w:r>
      <w:r w:rsidRPr="002F51A6">
        <w:rPr>
          <w:rFonts w:cs="Arial"/>
        </w:rPr>
        <w:t xml:space="preserve"> </w:t>
      </w:r>
      <w:r>
        <w:rPr>
          <w:rFonts w:cs="Arial"/>
        </w:rPr>
        <w:t>określiło swój poziom jako wysoki lub bardzo wysoki) czy samodzielne podejmowanie decyzji (70%</w:t>
      </w:r>
      <w:r w:rsidRPr="002F51A6">
        <w:rPr>
          <w:rFonts w:cs="Arial"/>
        </w:rPr>
        <w:t xml:space="preserve"> </w:t>
      </w:r>
      <w:r>
        <w:rPr>
          <w:rFonts w:cs="Arial"/>
        </w:rPr>
        <w:t xml:space="preserve">określiło swój poziom jako wysoki lub bardzo wysoki). Najmniejsze natomiast predyspozycje w swoim odczuciu uczniowie posiadają w zakresie takich umiejętności jak: </w:t>
      </w:r>
      <w:r w:rsidRPr="00344D39">
        <w:rPr>
          <w:rFonts w:cs="Arial"/>
        </w:rPr>
        <w:t>znajomoś</w:t>
      </w:r>
      <w:r>
        <w:rPr>
          <w:rFonts w:cs="Arial"/>
        </w:rPr>
        <w:t>ć</w:t>
      </w:r>
      <w:r w:rsidRPr="00344D39">
        <w:rPr>
          <w:rFonts w:cs="Arial"/>
        </w:rPr>
        <w:t xml:space="preserve"> specjalistycznych programów, umiejętność</w:t>
      </w:r>
      <w:r>
        <w:rPr>
          <w:rFonts w:cs="Arial"/>
        </w:rPr>
        <w:t xml:space="preserve"> pisania programów czy tworzenia</w:t>
      </w:r>
      <w:r w:rsidRPr="00344D39">
        <w:rPr>
          <w:rFonts w:cs="Arial"/>
        </w:rPr>
        <w:t xml:space="preserve"> stron internetowych</w:t>
      </w:r>
      <w:r>
        <w:rPr>
          <w:rFonts w:cs="Arial"/>
        </w:rPr>
        <w:t xml:space="preserve"> (18,4%</w:t>
      </w:r>
      <w:r w:rsidRPr="002F51A6">
        <w:rPr>
          <w:rFonts w:cs="Arial"/>
        </w:rPr>
        <w:t xml:space="preserve"> </w:t>
      </w:r>
      <w:r>
        <w:rPr>
          <w:rFonts w:cs="Arial"/>
        </w:rPr>
        <w:t xml:space="preserve">określiło swój poziom jako wysoki lub bardzo wysoki), </w:t>
      </w:r>
      <w:r w:rsidRPr="00344D39">
        <w:rPr>
          <w:rFonts w:cs="Arial"/>
        </w:rPr>
        <w:t>wykonywanie zaawansowanych obliczeń matematycznych</w:t>
      </w:r>
      <w:r>
        <w:rPr>
          <w:rFonts w:cs="Arial"/>
        </w:rPr>
        <w:t xml:space="preserve"> (23,1% określiło swój poziom jako wysoki lub bardzo wysoki), </w:t>
      </w:r>
      <w:r w:rsidRPr="00344D39">
        <w:rPr>
          <w:rFonts w:cs="Arial"/>
        </w:rPr>
        <w:t>obsługa, montowanie i naprawa urządzeń technicznych</w:t>
      </w:r>
      <w:r>
        <w:rPr>
          <w:rFonts w:cs="Arial"/>
        </w:rPr>
        <w:t xml:space="preserve"> (27,1%</w:t>
      </w:r>
      <w:r w:rsidRPr="002F51A6">
        <w:rPr>
          <w:rFonts w:cs="Arial"/>
        </w:rPr>
        <w:t xml:space="preserve"> </w:t>
      </w:r>
      <w:r>
        <w:rPr>
          <w:rFonts w:cs="Arial"/>
        </w:rPr>
        <w:t xml:space="preserve">określiło swój poziom jako wysoki lub bardzo wysoki) oraz </w:t>
      </w:r>
      <w:r w:rsidRPr="00344D39">
        <w:rPr>
          <w:rFonts w:cs="Arial"/>
        </w:rPr>
        <w:t>szybkie streszczanie dużej ilości tekstu</w:t>
      </w:r>
      <w:r>
        <w:rPr>
          <w:rFonts w:cs="Arial"/>
        </w:rPr>
        <w:t xml:space="preserve"> (32,5%</w:t>
      </w:r>
      <w:r w:rsidRPr="002F51A6">
        <w:rPr>
          <w:rFonts w:cs="Arial"/>
        </w:rPr>
        <w:t xml:space="preserve"> </w:t>
      </w:r>
      <w:r>
        <w:rPr>
          <w:rFonts w:cs="Arial"/>
        </w:rPr>
        <w:t xml:space="preserve">określiło swój poziom jako wysoki lub bardzo wysoki). </w:t>
      </w:r>
    </w:p>
    <w:p w:rsidR="00491ECD" w:rsidRDefault="00491ECD" w:rsidP="00491ECD">
      <w:pPr>
        <w:rPr>
          <w:rFonts w:cs="Arial"/>
          <w:b/>
        </w:rPr>
      </w:pPr>
    </w:p>
    <w:p w:rsidR="00491ECD" w:rsidRDefault="00491ECD" w:rsidP="00491ECD">
      <w:pPr>
        <w:rPr>
          <w:rFonts w:cs="Arial"/>
          <w:b/>
        </w:rPr>
      </w:pPr>
      <w:r w:rsidRPr="00C93922">
        <w:rPr>
          <w:rFonts w:cs="Arial"/>
          <w:b/>
        </w:rPr>
        <w:t xml:space="preserve">Studenci </w:t>
      </w:r>
      <w:r>
        <w:rPr>
          <w:rFonts w:cs="Arial"/>
          <w:b/>
        </w:rPr>
        <w:t xml:space="preserve">i absolwenci szkół wyższych </w:t>
      </w:r>
      <w:r w:rsidRPr="00C93922">
        <w:rPr>
          <w:rFonts w:cs="Arial"/>
          <w:b/>
        </w:rPr>
        <w:t xml:space="preserve">w ujęciu </w:t>
      </w:r>
      <w:r>
        <w:rPr>
          <w:rFonts w:cs="Arial"/>
          <w:b/>
        </w:rPr>
        <w:t xml:space="preserve">danych statystycznych oraz </w:t>
      </w:r>
      <w:r w:rsidRPr="00C93922">
        <w:rPr>
          <w:rFonts w:cs="Arial"/>
          <w:b/>
        </w:rPr>
        <w:t>Badania BKL</w:t>
      </w:r>
    </w:p>
    <w:p w:rsidR="00491ECD" w:rsidRPr="00C93922" w:rsidRDefault="00491ECD" w:rsidP="00491ECD">
      <w:pPr>
        <w:rPr>
          <w:rFonts w:cs="Arial"/>
          <w:b/>
        </w:rPr>
      </w:pPr>
    </w:p>
    <w:p w:rsidR="00491ECD" w:rsidRDefault="00491ECD" w:rsidP="00491ECD">
      <w:pPr>
        <w:ind w:firstLine="708"/>
        <w:rPr>
          <w:rFonts w:cs="Arial"/>
        </w:rPr>
      </w:pPr>
      <w:r>
        <w:rPr>
          <w:rFonts w:cs="Arial"/>
        </w:rPr>
        <w:t xml:space="preserve">Łącznie w 2013 r. w województwie wielkopolskim studiowało 143 310 osób. 60% studiujących to kobiety. Spośród wszystkich studentów 75% uczęszczało do szkół publicznych. 73% spośród wszystkich studentów uczęszczających do szkół publicznych studiowało w trybie stacjonarnym. </w:t>
      </w:r>
    </w:p>
    <w:p w:rsidR="00491ECD" w:rsidRPr="00950E32" w:rsidRDefault="00491ECD" w:rsidP="00184144">
      <w:pPr>
        <w:spacing w:before="120" w:after="120" w:line="240" w:lineRule="auto"/>
        <w:rPr>
          <w:rFonts w:cs="Arial"/>
          <w:sz w:val="20"/>
          <w:szCs w:val="20"/>
        </w:rPr>
      </w:pPr>
      <w:r w:rsidRPr="00950E32">
        <w:rPr>
          <w:rFonts w:cs="Arial"/>
          <w:sz w:val="20"/>
          <w:szCs w:val="20"/>
        </w:rPr>
        <w:t>Tabela nr 2. Udział studentów wg kierunków w ogóle studentów w 2013 r. w województwie wielkopolskim.</w:t>
      </w:r>
    </w:p>
    <w:tbl>
      <w:tblPr>
        <w:tblW w:w="10783" w:type="dxa"/>
        <w:jc w:val="center"/>
        <w:tblInd w:w="1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6"/>
        <w:gridCol w:w="1134"/>
        <w:gridCol w:w="2410"/>
        <w:gridCol w:w="1134"/>
        <w:gridCol w:w="2551"/>
        <w:gridCol w:w="1138"/>
      </w:tblGrid>
      <w:tr w:rsidR="00184144" w:rsidRPr="00151C71" w:rsidTr="00184144">
        <w:trPr>
          <w:trHeight w:val="255"/>
          <w:jc w:val="center"/>
        </w:trPr>
        <w:tc>
          <w:tcPr>
            <w:tcW w:w="3550" w:type="dxa"/>
            <w:gridSpan w:val="2"/>
            <w:shd w:val="clear" w:color="auto" w:fill="auto"/>
            <w:noWrap/>
            <w:vAlign w:val="center"/>
            <w:hideMark/>
          </w:tcPr>
          <w:p w:rsidR="00491ECD" w:rsidRPr="00151C71" w:rsidRDefault="00491ECD" w:rsidP="00184144">
            <w:pPr>
              <w:jc w:val="center"/>
              <w:rPr>
                <w:rFonts w:cs="Arial"/>
                <w:b/>
                <w:bCs/>
                <w:sz w:val="20"/>
                <w:szCs w:val="20"/>
              </w:rPr>
            </w:pPr>
            <w:r w:rsidRPr="00151C71">
              <w:rPr>
                <w:rFonts w:cs="Arial"/>
                <w:b/>
                <w:bCs/>
                <w:sz w:val="20"/>
                <w:szCs w:val="20"/>
              </w:rPr>
              <w:t>Szkoły publiczne</w:t>
            </w:r>
          </w:p>
        </w:tc>
        <w:tc>
          <w:tcPr>
            <w:tcW w:w="3544" w:type="dxa"/>
            <w:gridSpan w:val="2"/>
            <w:shd w:val="clear" w:color="auto" w:fill="auto"/>
            <w:noWrap/>
            <w:vAlign w:val="center"/>
            <w:hideMark/>
          </w:tcPr>
          <w:p w:rsidR="00491ECD" w:rsidRPr="00151C71" w:rsidRDefault="00491ECD" w:rsidP="00184144">
            <w:pPr>
              <w:jc w:val="center"/>
              <w:rPr>
                <w:rFonts w:cs="Arial"/>
                <w:b/>
                <w:bCs/>
                <w:sz w:val="20"/>
                <w:szCs w:val="20"/>
              </w:rPr>
            </w:pPr>
            <w:r w:rsidRPr="00151C71">
              <w:rPr>
                <w:rFonts w:cs="Arial"/>
                <w:b/>
                <w:bCs/>
                <w:sz w:val="20"/>
                <w:szCs w:val="20"/>
              </w:rPr>
              <w:t>studia stacjonarne</w:t>
            </w:r>
          </w:p>
        </w:tc>
        <w:tc>
          <w:tcPr>
            <w:tcW w:w="3689" w:type="dxa"/>
            <w:gridSpan w:val="2"/>
            <w:shd w:val="clear" w:color="auto" w:fill="auto"/>
            <w:noWrap/>
            <w:vAlign w:val="center"/>
            <w:hideMark/>
          </w:tcPr>
          <w:p w:rsidR="00491ECD" w:rsidRPr="00151C71" w:rsidRDefault="00491ECD" w:rsidP="00184144">
            <w:pPr>
              <w:jc w:val="center"/>
              <w:rPr>
                <w:rFonts w:cs="Arial"/>
                <w:b/>
                <w:bCs/>
                <w:sz w:val="20"/>
                <w:szCs w:val="20"/>
              </w:rPr>
            </w:pPr>
            <w:r w:rsidRPr="00151C71">
              <w:rPr>
                <w:rFonts w:cs="Arial"/>
                <w:b/>
                <w:bCs/>
                <w:sz w:val="20"/>
                <w:szCs w:val="20"/>
              </w:rPr>
              <w:t>studia niestacjonarne</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ekonomia i administracja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13,4</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ekonomia i administracja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12,8</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ekonomia i administracja</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14,9</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inżynieryjno-techniczne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11,0</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humanistyczne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12,0</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pedagogiczne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11,0</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medyczne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10,3</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inżynieryjno-techniczne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11,2</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inżynieryjno-techniczne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10,6</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humanistyczne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10,3</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medyczne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10,4</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medyczne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10,2</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pedagogiczne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9,3</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społeczne</w:t>
            </w:r>
          </w:p>
        </w:tc>
        <w:tc>
          <w:tcPr>
            <w:tcW w:w="1134" w:type="dxa"/>
            <w:shd w:val="clear" w:color="auto" w:fill="auto"/>
            <w:noWrap/>
            <w:vAlign w:val="bottom"/>
            <w:hideMark/>
          </w:tcPr>
          <w:p w:rsidR="00491ECD" w:rsidRPr="00151C71" w:rsidRDefault="00491ECD" w:rsidP="00184144">
            <w:pPr>
              <w:rPr>
                <w:rFonts w:cs="Arial"/>
                <w:sz w:val="20"/>
                <w:szCs w:val="20"/>
              </w:rPr>
            </w:pPr>
            <w:r w:rsidRPr="00151C71">
              <w:rPr>
                <w:rFonts w:cs="Arial"/>
                <w:sz w:val="20"/>
                <w:szCs w:val="20"/>
              </w:rPr>
              <w:t>9,1</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społeczne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9,3</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społeczne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9,1</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pedagogiczne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8,7</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architektura i budownictwo</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5,5</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architektura i budownictwo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4,5</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fizyczne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4,2</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humanistyczne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5,5</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informatyczne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3,5</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architektura i budownictwo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4,1</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rolnicze, leśne i rybactwa</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5,3</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rolnicze, leśne i rybactwa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3,4</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informatyczne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3,5</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prawne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5,3</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produkcja i przetwórstwo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3,4</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usługi dla ludności</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3,4</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produkcja i przetwórstwo</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3,8</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fizyczne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3,3</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produkcja i przetwórstwo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3,2</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informatyczne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3,6</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lastRenderedPageBreak/>
              <w:t>usługi dla ludności</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3,1</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artystyczne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2,9</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i bezpieczeństwo</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2,7</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prawne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2,7</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rolnicze, leśne i rybactwa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2,8</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środowiska</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2,4</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artystyczne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2,5</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biologiczne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2,3</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dziennikarstwo i informacja</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2,2</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środowiska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2,1</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środowiska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2,0</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usługi dla ludności</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2,2</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biologiczne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1,9</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prawne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1,8</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artystyczne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i bezpieczeństwo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1,7</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usługi transportowe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usługi transportowe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usługi transportowe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ochrona i bezpieczeństwo</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1,4</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fizyczne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0,9</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dziennikarstwo i informacja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1,2</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matematyczno - statystyczne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1,1</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biologiczne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0,8</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matematyczno - statystyczne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0,9</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dziennikarstwo i informacja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0,9</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opieka społeczna</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0,6</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opieka społeczna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0,7</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opieka społeczna</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0,7</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matematyczno - statystyczne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0,4</w:t>
            </w:r>
            <w:r>
              <w:rPr>
                <w:rFonts w:cs="Arial"/>
                <w:sz w:val="20"/>
                <w:szCs w:val="20"/>
              </w:rPr>
              <w:t>%</w:t>
            </w:r>
          </w:p>
        </w:tc>
      </w:tr>
      <w:tr w:rsidR="00184144" w:rsidRPr="00151C71" w:rsidTr="00184144">
        <w:trPr>
          <w:trHeight w:val="255"/>
          <w:jc w:val="center"/>
        </w:trPr>
        <w:tc>
          <w:tcPr>
            <w:tcW w:w="2416"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weterynaryjne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0,2</w:t>
            </w:r>
            <w:r>
              <w:rPr>
                <w:rFonts w:cs="Arial"/>
                <w:sz w:val="20"/>
                <w:szCs w:val="20"/>
              </w:rPr>
              <w:t>%</w:t>
            </w:r>
          </w:p>
        </w:tc>
        <w:tc>
          <w:tcPr>
            <w:tcW w:w="2410"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weterynaryjne</w:t>
            </w:r>
          </w:p>
        </w:tc>
        <w:tc>
          <w:tcPr>
            <w:tcW w:w="1134"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0,2</w:t>
            </w:r>
            <w:r>
              <w:rPr>
                <w:rFonts w:cs="Arial"/>
                <w:sz w:val="20"/>
                <w:szCs w:val="20"/>
              </w:rPr>
              <w:t>%</w:t>
            </w:r>
          </w:p>
        </w:tc>
        <w:tc>
          <w:tcPr>
            <w:tcW w:w="2551" w:type="dxa"/>
            <w:shd w:val="clear" w:color="auto" w:fill="auto"/>
            <w:noWrap/>
            <w:vAlign w:val="bottom"/>
            <w:hideMark/>
          </w:tcPr>
          <w:p w:rsidR="00491ECD" w:rsidRPr="00151C71" w:rsidRDefault="00491ECD" w:rsidP="00184144">
            <w:pPr>
              <w:spacing w:line="240" w:lineRule="auto"/>
              <w:ind w:left="0" w:firstLine="0"/>
              <w:jc w:val="left"/>
              <w:rPr>
                <w:rFonts w:cs="Arial"/>
                <w:sz w:val="20"/>
                <w:szCs w:val="20"/>
              </w:rPr>
            </w:pPr>
            <w:r w:rsidRPr="00151C71">
              <w:rPr>
                <w:rFonts w:cs="Arial"/>
                <w:sz w:val="20"/>
                <w:szCs w:val="20"/>
              </w:rPr>
              <w:t>weterynaryjne</w:t>
            </w:r>
          </w:p>
        </w:tc>
        <w:tc>
          <w:tcPr>
            <w:tcW w:w="1138" w:type="dxa"/>
            <w:shd w:val="clear" w:color="auto" w:fill="auto"/>
            <w:noWrap/>
            <w:vAlign w:val="bottom"/>
            <w:hideMark/>
          </w:tcPr>
          <w:p w:rsidR="00491ECD" w:rsidRPr="00151C71" w:rsidRDefault="00491ECD" w:rsidP="00184144">
            <w:pPr>
              <w:jc w:val="left"/>
              <w:rPr>
                <w:rFonts w:cs="Arial"/>
                <w:sz w:val="20"/>
                <w:szCs w:val="20"/>
              </w:rPr>
            </w:pPr>
            <w:r w:rsidRPr="00151C71">
              <w:rPr>
                <w:rFonts w:cs="Arial"/>
                <w:sz w:val="20"/>
                <w:szCs w:val="20"/>
              </w:rPr>
              <w:t>0,0</w:t>
            </w:r>
            <w:r>
              <w:rPr>
                <w:rFonts w:cs="Arial"/>
                <w:sz w:val="20"/>
                <w:szCs w:val="20"/>
              </w:rPr>
              <w:t>%</w:t>
            </w:r>
          </w:p>
        </w:tc>
      </w:tr>
    </w:tbl>
    <w:p w:rsidR="00491ECD" w:rsidRDefault="00491ECD" w:rsidP="00491ECD">
      <w:pPr>
        <w:spacing w:before="120" w:after="120"/>
        <w:rPr>
          <w:rFonts w:cs="Arial"/>
          <w:sz w:val="20"/>
          <w:szCs w:val="20"/>
        </w:rPr>
      </w:pPr>
      <w:r w:rsidRPr="002B1183">
        <w:rPr>
          <w:rFonts w:cs="Arial"/>
          <w:sz w:val="20"/>
          <w:szCs w:val="20"/>
        </w:rPr>
        <w:t>Źródło: Bank Danych Lokalnych, GUS</w:t>
      </w:r>
    </w:p>
    <w:p w:rsidR="00491ECD" w:rsidRDefault="00491ECD" w:rsidP="00491ECD">
      <w:pPr>
        <w:ind w:firstLine="708"/>
        <w:rPr>
          <w:rFonts w:cs="Arial"/>
        </w:rPr>
      </w:pPr>
      <w:r>
        <w:rPr>
          <w:rFonts w:cs="Arial"/>
        </w:rPr>
        <w:t xml:space="preserve">Największy udział wśród studentów szkół publicznych stanowiła grupa </w:t>
      </w:r>
      <w:r w:rsidR="00184144">
        <w:rPr>
          <w:rFonts w:cs="Arial"/>
        </w:rPr>
        <w:t xml:space="preserve">osób </w:t>
      </w:r>
      <w:r>
        <w:rPr>
          <w:rFonts w:cs="Arial"/>
        </w:rPr>
        <w:t xml:space="preserve">studiująca kierunki związane z ekonomią i administracją, zarówno w trybie stacjonarnym jak i niestacjonarnym. W dalszej kolejności popularnością cieszyły się kierunki inżynieryjno – techniczne, medyczne, humanistyczne, pedagogiczne </w:t>
      </w:r>
      <w:r>
        <w:rPr>
          <w:rFonts w:cs="Arial"/>
        </w:rPr>
        <w:br/>
        <w:t xml:space="preserve">i społeczne. </w:t>
      </w:r>
    </w:p>
    <w:p w:rsidR="00491ECD" w:rsidRDefault="00491ECD" w:rsidP="00491ECD">
      <w:pPr>
        <w:ind w:firstLine="708"/>
        <w:rPr>
          <w:rFonts w:cs="Arial"/>
        </w:rPr>
      </w:pPr>
      <w:r>
        <w:rPr>
          <w:rFonts w:cs="Arial"/>
        </w:rPr>
        <w:t>W 2013 r. spośród wszystkich studentów 35 754 pobierało naukę w szkołach niepublicznych., z czego 85% w trybie niestacjonarnym. Podobnie jak w przypadku szkół publicznych około 60% studiujących stanowiły w tym przypadku kobiety. Podobnie jak w przypadku szkół publicznych większość studentów uczęszczających do szkół niepublicznych wybrała kierunki związane z ekonomią i administracją. Większy niż w przypadku szkół publicznych jest w tym przypadku udział studentów pobierających naukę na kierunkach pedagogicznych oraz związanych z usługami dla</w:t>
      </w:r>
      <w:r w:rsidRPr="00491ECD">
        <w:rPr>
          <w:rFonts w:cs="Arial"/>
        </w:rPr>
        <w:t xml:space="preserve"> </w:t>
      </w:r>
      <w:r>
        <w:rPr>
          <w:rFonts w:cs="Arial"/>
        </w:rPr>
        <w:t xml:space="preserve">ludności, zdecydowanie mniejszy natomiast jest udział studentów pobierających naukę na kierunkach inżynieryjno – technicznych. Niezależnie od typu szkoły oraz trybu studiowania w przypadku większości analizowanych kierunków kształcenia większość stanowiły kobiety. Wyraźną przewagę mężczyźni stanowili wyłącznie na kierunkach: informatycznych, inżynieryjno – technicznych oraz związanych z usługami transportowymi. </w:t>
      </w:r>
    </w:p>
    <w:p w:rsidR="00184144" w:rsidRDefault="00184144">
      <w:pPr>
        <w:rPr>
          <w:rFonts w:cs="Arial"/>
          <w:sz w:val="20"/>
          <w:szCs w:val="20"/>
        </w:rPr>
      </w:pPr>
      <w:r>
        <w:rPr>
          <w:rFonts w:cs="Arial"/>
          <w:sz w:val="20"/>
          <w:szCs w:val="20"/>
        </w:rPr>
        <w:br w:type="page"/>
      </w:r>
    </w:p>
    <w:p w:rsidR="00491ECD" w:rsidRPr="004E09BC" w:rsidRDefault="00491ECD" w:rsidP="00491ECD">
      <w:pPr>
        <w:spacing w:before="120" w:after="120"/>
        <w:rPr>
          <w:rFonts w:cs="Arial"/>
          <w:sz w:val="20"/>
          <w:szCs w:val="20"/>
        </w:rPr>
      </w:pPr>
      <w:r>
        <w:rPr>
          <w:rFonts w:cs="Arial"/>
          <w:sz w:val="20"/>
          <w:szCs w:val="20"/>
        </w:rPr>
        <w:lastRenderedPageBreak/>
        <w:t>Wykres nr 4.</w:t>
      </w:r>
      <w:r w:rsidRPr="004E09BC">
        <w:rPr>
          <w:rFonts w:cs="Arial"/>
          <w:sz w:val="20"/>
          <w:szCs w:val="20"/>
        </w:rPr>
        <w:t xml:space="preserve"> </w:t>
      </w:r>
      <w:r>
        <w:rPr>
          <w:rFonts w:cs="Arial"/>
          <w:sz w:val="20"/>
          <w:szCs w:val="20"/>
        </w:rPr>
        <w:t>Studenci wybranych kierunków studiów, z uwzględnieniem płci w 2013 r. w województwie wielkopolskim.</w:t>
      </w:r>
    </w:p>
    <w:p w:rsidR="00491ECD" w:rsidRDefault="00491ECD" w:rsidP="00491ECD">
      <w:pPr>
        <w:rPr>
          <w:rFonts w:cs="Arial"/>
        </w:rPr>
      </w:pPr>
      <w:r>
        <w:rPr>
          <w:rFonts w:cs="Arial"/>
          <w:noProof/>
          <w:lang w:eastAsia="pl-PL"/>
        </w:rPr>
        <w:drawing>
          <wp:inline distT="0" distB="0" distL="0" distR="0">
            <wp:extent cx="5795657" cy="3356753"/>
            <wp:effectExtent l="12185" t="6085" r="8758" b="2662"/>
            <wp:docPr id="28"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1ECD" w:rsidRDefault="00491ECD" w:rsidP="00491ECD">
      <w:pPr>
        <w:spacing w:before="120" w:after="120"/>
        <w:rPr>
          <w:rFonts w:cs="Arial"/>
          <w:sz w:val="20"/>
          <w:szCs w:val="20"/>
        </w:rPr>
      </w:pPr>
      <w:r w:rsidRPr="002B1183">
        <w:rPr>
          <w:rFonts w:cs="Arial"/>
          <w:sz w:val="20"/>
          <w:szCs w:val="20"/>
        </w:rPr>
        <w:t>Źródło: Bank Danych Lokalnych, GUS</w:t>
      </w:r>
    </w:p>
    <w:p w:rsidR="00491ECD" w:rsidRDefault="00491ECD" w:rsidP="00491ECD">
      <w:pPr>
        <w:ind w:firstLine="708"/>
        <w:rPr>
          <w:rFonts w:cs="Arial"/>
        </w:rPr>
      </w:pPr>
      <w:r>
        <w:rPr>
          <w:rFonts w:cs="Arial"/>
        </w:rPr>
        <w:t xml:space="preserve">Dominację kierunków związanych z ekonomią i administracją widać również na rozkładzie absolwentów w 2013 r. w województwie wielkopolskim, gdzie jest ona większa niż w przypadku osób studiujących. </w:t>
      </w:r>
    </w:p>
    <w:p w:rsidR="00491ECD" w:rsidRDefault="00491ECD" w:rsidP="00184144">
      <w:pPr>
        <w:ind w:hanging="142"/>
        <w:rPr>
          <w:rFonts w:cs="Arial"/>
        </w:rPr>
      </w:pPr>
      <w:r>
        <w:rPr>
          <w:rFonts w:cs="Arial"/>
        </w:rPr>
        <w:t xml:space="preserve">W 2013 r. więcej było absolwentów niż studentów kierunków społecznych, pedagogicznych czy humanistycznych. Większy natomiast wystąpił udział osób, które zdecydowały się na kierunki inżynieryjno techniczne. </w:t>
      </w:r>
    </w:p>
    <w:p w:rsidR="00491ECD" w:rsidRPr="00950E32" w:rsidRDefault="00491ECD" w:rsidP="00491ECD">
      <w:pPr>
        <w:spacing w:before="120" w:after="120"/>
        <w:rPr>
          <w:rFonts w:cs="Arial"/>
          <w:sz w:val="20"/>
          <w:szCs w:val="20"/>
        </w:rPr>
      </w:pPr>
      <w:r>
        <w:rPr>
          <w:rFonts w:cs="Arial"/>
          <w:sz w:val="20"/>
          <w:szCs w:val="20"/>
        </w:rPr>
        <w:t>Tabela nr 3</w:t>
      </w:r>
      <w:r w:rsidRPr="00950E32">
        <w:rPr>
          <w:rFonts w:cs="Arial"/>
          <w:sz w:val="20"/>
          <w:szCs w:val="20"/>
        </w:rPr>
        <w:t xml:space="preserve">. Udział </w:t>
      </w:r>
      <w:r>
        <w:rPr>
          <w:rFonts w:cs="Arial"/>
          <w:sz w:val="20"/>
          <w:szCs w:val="20"/>
        </w:rPr>
        <w:t xml:space="preserve">absolwentów </w:t>
      </w:r>
      <w:r w:rsidRPr="00950E32">
        <w:rPr>
          <w:rFonts w:cs="Arial"/>
          <w:sz w:val="20"/>
          <w:szCs w:val="20"/>
        </w:rPr>
        <w:t xml:space="preserve">wg kierunków w ogóle </w:t>
      </w:r>
      <w:r>
        <w:rPr>
          <w:rFonts w:cs="Arial"/>
          <w:sz w:val="20"/>
          <w:szCs w:val="20"/>
        </w:rPr>
        <w:t>absolwentów</w:t>
      </w:r>
      <w:r w:rsidRPr="00950E32">
        <w:rPr>
          <w:rFonts w:cs="Arial"/>
          <w:sz w:val="20"/>
          <w:szCs w:val="20"/>
        </w:rPr>
        <w:t xml:space="preserve"> w 2013 r. w województwie wielkopolskim.</w:t>
      </w:r>
    </w:p>
    <w:tbl>
      <w:tblPr>
        <w:tblW w:w="1105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36"/>
        <w:gridCol w:w="850"/>
        <w:gridCol w:w="3119"/>
        <w:gridCol w:w="708"/>
        <w:gridCol w:w="2694"/>
        <w:gridCol w:w="850"/>
      </w:tblGrid>
      <w:tr w:rsidR="00491ECD" w:rsidRPr="00C7759F" w:rsidTr="008C5A4B">
        <w:trPr>
          <w:trHeight w:val="255"/>
        </w:trPr>
        <w:tc>
          <w:tcPr>
            <w:tcW w:w="3686" w:type="dxa"/>
            <w:gridSpan w:val="2"/>
            <w:shd w:val="clear" w:color="auto" w:fill="auto"/>
            <w:noWrap/>
            <w:vAlign w:val="bottom"/>
            <w:hideMark/>
          </w:tcPr>
          <w:p w:rsidR="00491ECD" w:rsidRPr="00C7759F" w:rsidRDefault="00491ECD" w:rsidP="0071569D">
            <w:pPr>
              <w:rPr>
                <w:rFonts w:cs="Arial"/>
                <w:b/>
                <w:bCs/>
                <w:sz w:val="20"/>
                <w:szCs w:val="20"/>
              </w:rPr>
            </w:pPr>
            <w:r w:rsidRPr="00C7759F">
              <w:rPr>
                <w:rFonts w:cs="Arial"/>
                <w:b/>
                <w:bCs/>
                <w:sz w:val="20"/>
                <w:szCs w:val="20"/>
              </w:rPr>
              <w:t>Szkoły publiczne</w:t>
            </w:r>
          </w:p>
        </w:tc>
        <w:tc>
          <w:tcPr>
            <w:tcW w:w="3827" w:type="dxa"/>
            <w:gridSpan w:val="2"/>
            <w:shd w:val="clear" w:color="auto" w:fill="auto"/>
            <w:noWrap/>
            <w:vAlign w:val="bottom"/>
            <w:hideMark/>
          </w:tcPr>
          <w:p w:rsidR="00491ECD" w:rsidRPr="00C7759F" w:rsidRDefault="00491ECD" w:rsidP="0071569D">
            <w:pPr>
              <w:rPr>
                <w:rFonts w:cs="Arial"/>
                <w:b/>
                <w:bCs/>
                <w:sz w:val="20"/>
                <w:szCs w:val="20"/>
              </w:rPr>
            </w:pPr>
            <w:r w:rsidRPr="00C7759F">
              <w:rPr>
                <w:rFonts w:cs="Arial"/>
                <w:b/>
                <w:bCs/>
                <w:sz w:val="20"/>
                <w:szCs w:val="20"/>
              </w:rPr>
              <w:t>Studia stacjonarne</w:t>
            </w:r>
          </w:p>
        </w:tc>
        <w:tc>
          <w:tcPr>
            <w:tcW w:w="3544" w:type="dxa"/>
            <w:gridSpan w:val="2"/>
            <w:shd w:val="clear" w:color="auto" w:fill="auto"/>
            <w:noWrap/>
            <w:vAlign w:val="bottom"/>
            <w:hideMark/>
          </w:tcPr>
          <w:p w:rsidR="00491ECD" w:rsidRPr="00C7759F" w:rsidRDefault="00491ECD" w:rsidP="0071569D">
            <w:pPr>
              <w:rPr>
                <w:rFonts w:cs="Arial"/>
                <w:b/>
                <w:bCs/>
                <w:sz w:val="20"/>
                <w:szCs w:val="20"/>
              </w:rPr>
            </w:pPr>
            <w:r w:rsidRPr="00C7759F">
              <w:rPr>
                <w:rFonts w:cs="Arial"/>
                <w:b/>
                <w:bCs/>
                <w:sz w:val="20"/>
                <w:szCs w:val="20"/>
              </w:rPr>
              <w:t>Studia niestacjonarne</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ekonomia </w:t>
            </w:r>
          </w:p>
          <w:p w:rsidR="00491ECD" w:rsidRPr="00C7759F" w:rsidRDefault="00491ECD" w:rsidP="00184144">
            <w:pPr>
              <w:spacing w:line="240" w:lineRule="auto"/>
              <w:ind w:left="0" w:firstLine="0"/>
              <w:rPr>
                <w:rFonts w:cs="Arial"/>
                <w:sz w:val="20"/>
                <w:szCs w:val="20"/>
              </w:rPr>
            </w:pPr>
            <w:r w:rsidRPr="00C7759F">
              <w:rPr>
                <w:rFonts w:cs="Arial"/>
                <w:sz w:val="20"/>
                <w:szCs w:val="20"/>
              </w:rPr>
              <w:t>i administracja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17,4</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ekonomia i administracja</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15,8</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ekonomia i administracja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21,4</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społeczne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11,0</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społeczne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b/>
                <w:sz w:val="20"/>
                <w:szCs w:val="20"/>
              </w:rPr>
            </w:pPr>
            <w:r w:rsidRPr="00C7759F">
              <w:rPr>
                <w:rFonts w:cs="Arial"/>
                <w:sz w:val="20"/>
                <w:szCs w:val="20"/>
              </w:rPr>
              <w:t>10,4</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pedagogiczne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13,3</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pedagogiczne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10,5</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humanistyczne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10,2</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społeczne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12,4</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medyczne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10,2</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medyczne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9,7</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medyczne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11,6</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humanistyczne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9,0</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inżynieryjno-techniczne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9,6</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inżynieryjno-techniczne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6,9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inżynieryjno-techniczne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8,8</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pedagogiczne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9,3</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humanistyczne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6,2</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architektura </w:t>
            </w:r>
          </w:p>
          <w:p w:rsidR="00491ECD" w:rsidRPr="00C7759F" w:rsidRDefault="00491ECD" w:rsidP="00184144">
            <w:pPr>
              <w:spacing w:line="240" w:lineRule="auto"/>
              <w:ind w:left="0" w:firstLine="0"/>
              <w:rPr>
                <w:rFonts w:cs="Arial"/>
                <w:sz w:val="20"/>
                <w:szCs w:val="20"/>
              </w:rPr>
            </w:pPr>
            <w:r w:rsidRPr="00C7759F">
              <w:rPr>
                <w:rFonts w:cs="Arial"/>
                <w:sz w:val="20"/>
                <w:szCs w:val="20"/>
              </w:rPr>
              <w:t>i budownictwo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4,6</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architektura i budownictwo</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4,9</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dla ludności</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3,8</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produkcja </w:t>
            </w:r>
          </w:p>
          <w:p w:rsidR="00491ECD" w:rsidRPr="00C7759F" w:rsidRDefault="00491ECD" w:rsidP="00184144">
            <w:pPr>
              <w:spacing w:line="240" w:lineRule="auto"/>
              <w:ind w:left="0" w:firstLine="0"/>
              <w:rPr>
                <w:rFonts w:cs="Arial"/>
                <w:sz w:val="20"/>
                <w:szCs w:val="20"/>
              </w:rPr>
            </w:pPr>
            <w:r w:rsidRPr="00C7759F">
              <w:rPr>
                <w:rFonts w:cs="Arial"/>
                <w:sz w:val="20"/>
                <w:szCs w:val="20"/>
              </w:rPr>
              <w:t>i przetwórstwo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3,4</w:t>
            </w:r>
            <w:r>
              <w:rPr>
                <w:rFonts w:cs="Arial"/>
                <w:sz w:val="20"/>
                <w:szCs w:val="20"/>
              </w:rPr>
              <w:t>%</w:t>
            </w:r>
          </w:p>
        </w:tc>
        <w:tc>
          <w:tcPr>
            <w:tcW w:w="3119" w:type="dxa"/>
            <w:shd w:val="clear" w:color="auto" w:fill="auto"/>
            <w:noWrap/>
            <w:vAlign w:val="bottom"/>
            <w:hideMark/>
          </w:tcPr>
          <w:p w:rsidR="00491ECD" w:rsidRPr="00C7759F" w:rsidRDefault="008C5A4B" w:rsidP="00184144">
            <w:pPr>
              <w:spacing w:line="240" w:lineRule="auto"/>
              <w:ind w:left="0" w:firstLine="0"/>
              <w:rPr>
                <w:rFonts w:cs="Arial"/>
                <w:sz w:val="20"/>
                <w:szCs w:val="20"/>
              </w:rPr>
            </w:pPr>
            <w:r>
              <w:rPr>
                <w:rFonts w:cs="Arial"/>
                <w:sz w:val="20"/>
                <w:szCs w:val="20"/>
              </w:rPr>
              <w:t>f</w:t>
            </w:r>
            <w:r w:rsidR="00491ECD" w:rsidRPr="00C7759F">
              <w:rPr>
                <w:rFonts w:cs="Arial"/>
                <w:sz w:val="20"/>
                <w:szCs w:val="20"/>
              </w:rPr>
              <w:t>izyczne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4,3</w:t>
            </w:r>
            <w:r>
              <w:rPr>
                <w:rFonts w:cs="Arial"/>
                <w:sz w:val="20"/>
                <w:szCs w:val="20"/>
              </w:rPr>
              <w:t>%</w:t>
            </w:r>
          </w:p>
        </w:tc>
        <w:tc>
          <w:tcPr>
            <w:tcW w:w="2694"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architektura </w:t>
            </w:r>
          </w:p>
          <w:p w:rsidR="00491ECD" w:rsidRPr="00C7759F" w:rsidRDefault="00491ECD" w:rsidP="00184144">
            <w:pPr>
              <w:spacing w:line="240" w:lineRule="auto"/>
              <w:ind w:left="0" w:firstLine="0"/>
              <w:rPr>
                <w:rFonts w:cs="Arial"/>
                <w:sz w:val="20"/>
                <w:szCs w:val="20"/>
              </w:rPr>
            </w:pPr>
            <w:r w:rsidRPr="00C7759F">
              <w:rPr>
                <w:rFonts w:cs="Arial"/>
                <w:sz w:val="20"/>
                <w:szCs w:val="20"/>
              </w:rPr>
              <w:t>i budownictwo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3,7</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dla ludności</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3,4</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produkcja i przetwórstwo</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3,6</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rolnicze, leśne i rybactwa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3,5</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rolnicze, leśne </w:t>
            </w:r>
          </w:p>
          <w:p w:rsidR="00491ECD" w:rsidRPr="00C7759F" w:rsidRDefault="00491ECD" w:rsidP="00184144">
            <w:pPr>
              <w:spacing w:line="240" w:lineRule="auto"/>
              <w:ind w:left="0" w:firstLine="0"/>
              <w:rPr>
                <w:rFonts w:cs="Arial"/>
                <w:sz w:val="20"/>
                <w:szCs w:val="20"/>
              </w:rPr>
            </w:pPr>
            <w:r w:rsidRPr="00C7759F">
              <w:rPr>
                <w:rFonts w:cs="Arial"/>
                <w:sz w:val="20"/>
                <w:szCs w:val="20"/>
              </w:rPr>
              <w:t>i rybactwa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3,4</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rolnicze, leśne i rybactwa</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3,3</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produkcja i przetwórstwo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3,0</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fizyczne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3,2</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dla ludności</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3,2</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prawne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2,5</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lastRenderedPageBreak/>
              <w:t>informatyczne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2,7</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informatyczne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3,0</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ochrona środowiska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2,2</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ochrona środowiska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2,4</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biologiczne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2,8</w:t>
            </w:r>
            <w:r>
              <w:rPr>
                <w:rFonts w:cs="Arial"/>
                <w:sz w:val="20"/>
                <w:szCs w:val="20"/>
              </w:rPr>
              <w:t>%</w:t>
            </w:r>
          </w:p>
        </w:tc>
        <w:tc>
          <w:tcPr>
            <w:tcW w:w="2694"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dziennikarstwo </w:t>
            </w:r>
          </w:p>
          <w:p w:rsidR="00491ECD" w:rsidRPr="00C7759F" w:rsidRDefault="00491ECD" w:rsidP="00184144">
            <w:pPr>
              <w:spacing w:line="240" w:lineRule="auto"/>
              <w:ind w:left="0" w:firstLine="0"/>
              <w:rPr>
                <w:rFonts w:cs="Arial"/>
                <w:sz w:val="20"/>
                <w:szCs w:val="20"/>
              </w:rPr>
            </w:pPr>
            <w:r w:rsidRPr="00C7759F">
              <w:rPr>
                <w:rFonts w:cs="Arial"/>
                <w:sz w:val="20"/>
                <w:szCs w:val="20"/>
              </w:rPr>
              <w:t>i informacja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artystyczne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2,3</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artystyczne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2,5</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artystyczne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biologiczne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2,2</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ochrona środowiska</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2,5</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informatyczne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prawne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1,5</w:t>
            </w:r>
            <w:r>
              <w:rPr>
                <w:rFonts w:cs="Arial"/>
                <w:sz w:val="20"/>
                <w:szCs w:val="20"/>
              </w:rPr>
              <w:t>%</w:t>
            </w:r>
          </w:p>
        </w:tc>
        <w:tc>
          <w:tcPr>
            <w:tcW w:w="3119" w:type="dxa"/>
            <w:shd w:val="clear" w:color="auto" w:fill="auto"/>
            <w:noWrap/>
            <w:vAlign w:val="bottom"/>
            <w:hideMark/>
          </w:tcPr>
          <w:p w:rsidR="00491ECD" w:rsidRPr="00C7759F" w:rsidRDefault="008C5A4B" w:rsidP="00184144">
            <w:pPr>
              <w:spacing w:line="240" w:lineRule="auto"/>
              <w:ind w:left="0" w:firstLine="0"/>
              <w:rPr>
                <w:rFonts w:cs="Arial"/>
                <w:sz w:val="20"/>
                <w:szCs w:val="20"/>
              </w:rPr>
            </w:pPr>
            <w:r w:rsidRPr="00C7759F">
              <w:rPr>
                <w:rFonts w:cs="Arial"/>
                <w:sz w:val="20"/>
                <w:szCs w:val="20"/>
              </w:rPr>
              <w:t>P</w:t>
            </w:r>
            <w:r w:rsidR="00491ECD" w:rsidRPr="00C7759F">
              <w:rPr>
                <w:rFonts w:cs="Arial"/>
                <w:sz w:val="20"/>
                <w:szCs w:val="20"/>
              </w:rPr>
              <w:t>rawne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1,1</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transportowe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dziennikarstwo </w:t>
            </w:r>
          </w:p>
          <w:p w:rsidR="00491ECD" w:rsidRPr="00C7759F" w:rsidRDefault="00491ECD" w:rsidP="00184144">
            <w:pPr>
              <w:spacing w:line="240" w:lineRule="auto"/>
              <w:ind w:left="0" w:firstLine="0"/>
              <w:rPr>
                <w:rFonts w:cs="Arial"/>
                <w:sz w:val="20"/>
                <w:szCs w:val="20"/>
              </w:rPr>
            </w:pPr>
            <w:r w:rsidRPr="00C7759F">
              <w:rPr>
                <w:rFonts w:cs="Arial"/>
                <w:sz w:val="20"/>
                <w:szCs w:val="20"/>
              </w:rPr>
              <w:t>i informacja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1,2</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transportowe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1,0</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biologiczne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0,9</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usługi transportowe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0,9</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matematyczno - statystyczne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0,9</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fizyczne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0,7</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matematyczno - statystyczne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0,8</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dziennikarstwo i informacja</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0,9</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opieka społeczna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0,4</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ochrona </w:t>
            </w:r>
          </w:p>
          <w:p w:rsidR="00491ECD" w:rsidRPr="00C7759F" w:rsidRDefault="00491ECD" w:rsidP="00184144">
            <w:pPr>
              <w:spacing w:line="240" w:lineRule="auto"/>
              <w:ind w:left="0" w:firstLine="0"/>
              <w:rPr>
                <w:rFonts w:cs="Arial"/>
                <w:sz w:val="20"/>
                <w:szCs w:val="20"/>
              </w:rPr>
            </w:pPr>
            <w:r w:rsidRPr="00C7759F">
              <w:rPr>
                <w:rFonts w:cs="Arial"/>
                <w:sz w:val="20"/>
                <w:szCs w:val="20"/>
              </w:rPr>
              <w:t>i bezpieczeństwo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0,5</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ochrona i bezpieczeństwo</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0,6</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matematyczno - statystyczne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0,4</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opieka społeczna</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0,5</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opieka społeczna</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0,5</w:t>
            </w:r>
            <w:r>
              <w:rPr>
                <w:rFonts w:cs="Arial"/>
                <w:sz w:val="20"/>
                <w:szCs w:val="20"/>
              </w:rPr>
              <w:t>%</w:t>
            </w:r>
          </w:p>
        </w:tc>
        <w:tc>
          <w:tcPr>
            <w:tcW w:w="2694" w:type="dxa"/>
            <w:shd w:val="clear" w:color="auto" w:fill="auto"/>
            <w:noWrap/>
            <w:vAlign w:val="bottom"/>
            <w:hideMark/>
          </w:tcPr>
          <w:p w:rsidR="008C5A4B" w:rsidRDefault="00491ECD" w:rsidP="00184144">
            <w:pPr>
              <w:spacing w:line="240" w:lineRule="auto"/>
              <w:ind w:left="0" w:firstLine="0"/>
              <w:rPr>
                <w:rFonts w:cs="Arial"/>
                <w:sz w:val="20"/>
                <w:szCs w:val="20"/>
              </w:rPr>
            </w:pPr>
            <w:r w:rsidRPr="00C7759F">
              <w:rPr>
                <w:rFonts w:cs="Arial"/>
                <w:sz w:val="20"/>
                <w:szCs w:val="20"/>
              </w:rPr>
              <w:t xml:space="preserve">ochrona </w:t>
            </w:r>
          </w:p>
          <w:p w:rsidR="00491ECD" w:rsidRPr="00C7759F" w:rsidRDefault="00491ECD" w:rsidP="00184144">
            <w:pPr>
              <w:spacing w:line="240" w:lineRule="auto"/>
              <w:ind w:left="0" w:firstLine="0"/>
              <w:rPr>
                <w:rFonts w:cs="Arial"/>
                <w:sz w:val="20"/>
                <w:szCs w:val="20"/>
              </w:rPr>
            </w:pPr>
            <w:r w:rsidRPr="00C7759F">
              <w:rPr>
                <w:rFonts w:cs="Arial"/>
                <w:sz w:val="20"/>
                <w:szCs w:val="20"/>
              </w:rPr>
              <w:t>i bezpieczeństwo</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0,4</w:t>
            </w:r>
            <w:r>
              <w:rPr>
                <w:rFonts w:cs="Arial"/>
                <w:sz w:val="20"/>
                <w:szCs w:val="20"/>
              </w:rPr>
              <w:t>%</w:t>
            </w:r>
          </w:p>
        </w:tc>
      </w:tr>
      <w:tr w:rsidR="008C5A4B" w:rsidRPr="00C7759F" w:rsidTr="008C5A4B">
        <w:trPr>
          <w:trHeight w:val="255"/>
        </w:trPr>
        <w:tc>
          <w:tcPr>
            <w:tcW w:w="2836"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weterynaryjne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0,0</w:t>
            </w:r>
            <w:r>
              <w:rPr>
                <w:rFonts w:cs="Arial"/>
                <w:sz w:val="20"/>
                <w:szCs w:val="20"/>
              </w:rPr>
              <w:t>%</w:t>
            </w:r>
          </w:p>
        </w:tc>
        <w:tc>
          <w:tcPr>
            <w:tcW w:w="3119"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weterynaryjne</w:t>
            </w:r>
          </w:p>
        </w:tc>
        <w:tc>
          <w:tcPr>
            <w:tcW w:w="708"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0,0</w:t>
            </w:r>
            <w:r>
              <w:rPr>
                <w:rFonts w:cs="Arial"/>
                <w:sz w:val="20"/>
                <w:szCs w:val="20"/>
              </w:rPr>
              <w:t>%</w:t>
            </w:r>
          </w:p>
        </w:tc>
        <w:tc>
          <w:tcPr>
            <w:tcW w:w="2694" w:type="dxa"/>
            <w:shd w:val="clear" w:color="auto" w:fill="auto"/>
            <w:noWrap/>
            <w:vAlign w:val="bottom"/>
            <w:hideMark/>
          </w:tcPr>
          <w:p w:rsidR="00491ECD" w:rsidRPr="00C7759F" w:rsidRDefault="00491ECD" w:rsidP="00184144">
            <w:pPr>
              <w:spacing w:line="240" w:lineRule="auto"/>
              <w:ind w:left="0" w:firstLine="0"/>
              <w:rPr>
                <w:rFonts w:cs="Arial"/>
                <w:sz w:val="20"/>
                <w:szCs w:val="20"/>
              </w:rPr>
            </w:pPr>
            <w:r w:rsidRPr="00C7759F">
              <w:rPr>
                <w:rFonts w:cs="Arial"/>
                <w:sz w:val="20"/>
                <w:szCs w:val="20"/>
              </w:rPr>
              <w:t>weterynaryjne</w:t>
            </w:r>
          </w:p>
        </w:tc>
        <w:tc>
          <w:tcPr>
            <w:tcW w:w="850" w:type="dxa"/>
            <w:shd w:val="clear" w:color="auto" w:fill="auto"/>
            <w:noWrap/>
            <w:vAlign w:val="bottom"/>
            <w:hideMark/>
          </w:tcPr>
          <w:p w:rsidR="00491ECD" w:rsidRPr="00C7759F" w:rsidRDefault="00491ECD" w:rsidP="00184144">
            <w:pPr>
              <w:spacing w:line="240" w:lineRule="auto"/>
              <w:ind w:left="0" w:firstLine="0"/>
              <w:jc w:val="right"/>
              <w:rPr>
                <w:rFonts w:cs="Arial"/>
                <w:sz w:val="20"/>
                <w:szCs w:val="20"/>
              </w:rPr>
            </w:pPr>
            <w:r w:rsidRPr="00C7759F">
              <w:rPr>
                <w:rFonts w:cs="Arial"/>
                <w:sz w:val="20"/>
                <w:szCs w:val="20"/>
              </w:rPr>
              <w:t>0,0</w:t>
            </w:r>
            <w:r>
              <w:rPr>
                <w:rFonts w:cs="Arial"/>
                <w:sz w:val="20"/>
                <w:szCs w:val="20"/>
              </w:rPr>
              <w:t>%</w:t>
            </w:r>
          </w:p>
        </w:tc>
      </w:tr>
    </w:tbl>
    <w:p w:rsidR="00491ECD" w:rsidRDefault="00491ECD" w:rsidP="00491ECD">
      <w:pPr>
        <w:spacing w:before="120" w:after="120"/>
        <w:rPr>
          <w:rFonts w:cs="Arial"/>
          <w:sz w:val="20"/>
          <w:szCs w:val="20"/>
        </w:rPr>
      </w:pPr>
      <w:r w:rsidRPr="002B1183">
        <w:rPr>
          <w:rFonts w:cs="Arial"/>
          <w:sz w:val="20"/>
          <w:szCs w:val="20"/>
        </w:rPr>
        <w:t>Źródło: Bank Danych Lokalnych, GUS</w:t>
      </w:r>
    </w:p>
    <w:p w:rsidR="00491ECD" w:rsidRPr="00634297" w:rsidRDefault="00491ECD" w:rsidP="00491ECD">
      <w:pPr>
        <w:ind w:firstLine="708"/>
        <w:rPr>
          <w:rFonts w:cs="Arial"/>
        </w:rPr>
      </w:pPr>
      <w:r>
        <w:rPr>
          <w:rFonts w:cs="Arial"/>
        </w:rPr>
        <w:t xml:space="preserve">Jednym z elementów analizowanych w ramach wspomnianego wyżej badania Bilans Kapitału Ludzkiego realizowanego w 2010 i 2013 r., była aktywność społeczno – zawodowa wielkopolskich studentów. </w:t>
      </w:r>
      <w:r w:rsidRPr="00634297">
        <w:rPr>
          <w:rFonts w:cs="Arial"/>
        </w:rPr>
        <w:t xml:space="preserve">Spośród wszystkich respondentów prawie 70% brało udział w stażach/praktykach podczas studiów. Zdecydowanie mniej bo jedynie nieco ponad 20% uczestniczyło w kursach, szkoleniach, warsztatach, prywatnych lekcjach, poza zajęciami. Wśród przebadanych studentów zaobserwowano niski poziom aktywności społecznej. Najczęściej, studenci </w:t>
      </w:r>
      <w:r>
        <w:rPr>
          <w:rFonts w:cs="Arial"/>
        </w:rPr>
        <w:t xml:space="preserve">angażowali </w:t>
      </w:r>
      <w:r w:rsidRPr="00634297">
        <w:rPr>
          <w:rFonts w:cs="Arial"/>
        </w:rPr>
        <w:t xml:space="preserve"> się w działalność kół naukowych (19,6%) oraz szeroko pojmowanego wolontariatu (16,9%). Są to najbardziej popularne wśród studentów formy aktywności</w:t>
      </w:r>
      <w:r>
        <w:rPr>
          <w:rFonts w:cs="Arial"/>
        </w:rPr>
        <w:t xml:space="preserve"> społecznej</w:t>
      </w:r>
      <w:r w:rsidRPr="00634297">
        <w:rPr>
          <w:rFonts w:cs="Arial"/>
        </w:rPr>
        <w:t>. W dalszej kolejności studenci wskazywali na podejmowanie działalności w o</w:t>
      </w:r>
      <w:r>
        <w:rPr>
          <w:rFonts w:cs="Arial"/>
        </w:rPr>
        <w:t>rganizacjach/stowarzyszeniach., je</w:t>
      </w:r>
      <w:r w:rsidRPr="00634297">
        <w:rPr>
          <w:rFonts w:cs="Arial"/>
        </w:rPr>
        <w:t>dynie nieco ponad 4% należało do harcerstwa,</w:t>
      </w:r>
      <w:r w:rsidRPr="00491ECD">
        <w:rPr>
          <w:rFonts w:cs="Arial"/>
        </w:rPr>
        <w:t xml:space="preserve"> </w:t>
      </w:r>
      <w:r w:rsidRPr="00634297">
        <w:rPr>
          <w:rFonts w:cs="Arial"/>
        </w:rPr>
        <w:t xml:space="preserve">6 % uczestniczyło w wyjeździe stypendialnym (ERASMUS/SOKRATES). Tyle samo brało udział w ruchach </w:t>
      </w:r>
      <w:r>
        <w:rPr>
          <w:rFonts w:cs="Arial"/>
        </w:rPr>
        <w:t>k</w:t>
      </w:r>
      <w:r w:rsidRPr="00634297">
        <w:rPr>
          <w:rFonts w:cs="Arial"/>
        </w:rPr>
        <w:t>ościelnych</w:t>
      </w:r>
      <w:r>
        <w:rPr>
          <w:rFonts w:cs="Arial"/>
        </w:rPr>
        <w:t xml:space="preserve"> </w:t>
      </w:r>
      <w:r w:rsidRPr="00634297">
        <w:rPr>
          <w:rFonts w:cs="Arial"/>
        </w:rPr>
        <w:t xml:space="preserve">/duszpasterstwach. </w:t>
      </w:r>
    </w:p>
    <w:p w:rsidR="00491ECD" w:rsidRPr="00206B2C" w:rsidRDefault="00491ECD" w:rsidP="00491ECD">
      <w:pPr>
        <w:ind w:firstLine="708"/>
        <w:rPr>
          <w:rFonts w:cs="Arial"/>
        </w:rPr>
      </w:pPr>
      <w:r w:rsidRPr="00634297">
        <w:rPr>
          <w:rFonts w:cs="Arial"/>
        </w:rPr>
        <w:t xml:space="preserve">W ciągu ostatnich 12 miesięcy ponad 40 % respondentów pracowała zarobkowo. Studenci najczęściej pracowali w takich zawodach jak: pracownicy sprzedaży, kelnerzy i barmani, magazynierzy, kasjerzy, specjaliści nauczania i wychowania, call center, opiekunowie dziecięcy oraz pracownicy obsługi biurowej, pracownicy centrów obsługi telefonicznej, pracownicy fizyczny pracownicy , pracownicy świadczący usługi na ulicach, ankieterzy, programiści aplikacji, ogrodnicy, pakowacze. Co czwarty z pracujących studentów był zatrudniony na podstawie umowy zlecenia </w:t>
      </w:r>
      <w:r>
        <w:rPr>
          <w:rFonts w:cs="Arial"/>
        </w:rPr>
        <w:t>lub o dzieło,</w:t>
      </w:r>
      <w:r w:rsidRPr="00634297">
        <w:rPr>
          <w:rFonts w:cs="Arial"/>
        </w:rPr>
        <w:t xml:space="preserve">  </w:t>
      </w:r>
      <w:r>
        <w:rPr>
          <w:rFonts w:cs="Arial"/>
        </w:rPr>
        <w:t>n</w:t>
      </w:r>
      <w:r w:rsidRPr="00634297">
        <w:rPr>
          <w:rFonts w:cs="Arial"/>
        </w:rPr>
        <w:t>iecałe</w:t>
      </w:r>
      <w:r>
        <w:rPr>
          <w:rFonts w:cs="Arial"/>
        </w:rPr>
        <w:t xml:space="preserve"> 10% na podstawie umowy o pracę,</w:t>
      </w:r>
      <w:r w:rsidRPr="00634297">
        <w:rPr>
          <w:rFonts w:cs="Arial"/>
        </w:rPr>
        <w:t xml:space="preserve"> 8% pracowało na podstawie umów nieformalnych. Nieco ponad 1% </w:t>
      </w:r>
      <w:r>
        <w:rPr>
          <w:rFonts w:cs="Arial"/>
        </w:rPr>
        <w:t xml:space="preserve">studentów </w:t>
      </w:r>
      <w:r w:rsidRPr="00634297">
        <w:rPr>
          <w:rFonts w:cs="Arial"/>
        </w:rPr>
        <w:t xml:space="preserve">pracowało w ramach własnej działalności. </w:t>
      </w:r>
      <w:r w:rsidRPr="00206B2C">
        <w:rPr>
          <w:rFonts w:cs="Arial"/>
        </w:rPr>
        <w:t xml:space="preserve">Na podstawie uzyskanych informacji można stwierdzić, że wynagrodzenie, jakie otrzymują studenci </w:t>
      </w:r>
      <w:r w:rsidRPr="00206B2C">
        <w:rPr>
          <w:rFonts w:cs="Arial"/>
        </w:rPr>
        <w:lastRenderedPageBreak/>
        <w:t xml:space="preserve">pracujący w Wielkopolsce najczęściej mieści się w granicach 500-1000 zł netto. Co piąty pracujący student zarabiał w granicach 1000-1500 lub do 500 zł. </w:t>
      </w:r>
    </w:p>
    <w:p w:rsidR="00491ECD" w:rsidRPr="00206B2C" w:rsidRDefault="00491ECD" w:rsidP="00491ECD">
      <w:pPr>
        <w:ind w:firstLine="708"/>
        <w:rPr>
          <w:rFonts w:cs="Arial"/>
        </w:rPr>
      </w:pPr>
      <w:r w:rsidRPr="00206B2C">
        <w:rPr>
          <w:rFonts w:cs="Arial"/>
        </w:rPr>
        <w:t>Spośród zapytanych studentów jakie kursy przydałyby im się najbardziej przed rozpoczęciem pracy zawodowej, najczęściej wskazywano na kursy językowe (przede wszystkim język angielski), obsługa specjalist</w:t>
      </w:r>
      <w:r>
        <w:rPr>
          <w:rFonts w:cs="Arial"/>
        </w:rPr>
        <w:t>ycznych programów komputerowych oraz na</w:t>
      </w:r>
      <w:r w:rsidRPr="00206B2C">
        <w:rPr>
          <w:rFonts w:cs="Arial"/>
        </w:rPr>
        <w:t xml:space="preserve"> kursy zawodowe.</w:t>
      </w:r>
    </w:p>
    <w:p w:rsidR="00491ECD" w:rsidRPr="00206B2C" w:rsidRDefault="00491ECD" w:rsidP="00491ECD">
      <w:pPr>
        <w:ind w:firstLine="708"/>
        <w:rPr>
          <w:rFonts w:cs="Arial"/>
        </w:rPr>
      </w:pPr>
      <w:r w:rsidRPr="00206B2C">
        <w:rPr>
          <w:rFonts w:cs="Arial"/>
        </w:rPr>
        <w:t>Zdecydowana większość studentów chce pracować w zawodzie wyuczonym (87%), natomiast 36 % z nich jest absolutni</w:t>
      </w:r>
      <w:r>
        <w:rPr>
          <w:rFonts w:cs="Arial"/>
        </w:rPr>
        <w:t xml:space="preserve">e o tym przekonanym. </w:t>
      </w:r>
      <w:r w:rsidRPr="00206B2C">
        <w:rPr>
          <w:rFonts w:cs="Arial"/>
        </w:rPr>
        <w:t xml:space="preserve">Prawie 40% ankietowanych </w:t>
      </w:r>
      <w:r>
        <w:rPr>
          <w:rFonts w:cs="Arial"/>
        </w:rPr>
        <w:t>nie zakłada przekwalifikowania</w:t>
      </w:r>
      <w:r w:rsidRPr="00206B2C">
        <w:rPr>
          <w:rFonts w:cs="Arial"/>
        </w:rPr>
        <w:t xml:space="preserve"> po ukończeniu szkoły.</w:t>
      </w:r>
      <w:r>
        <w:rPr>
          <w:rFonts w:cs="Arial"/>
        </w:rPr>
        <w:t xml:space="preserve"> Prawie co trzeciemu</w:t>
      </w:r>
      <w:r w:rsidRPr="00206B2C">
        <w:rPr>
          <w:rFonts w:cs="Arial"/>
        </w:rPr>
        <w:t xml:space="preserve"> studentowi obojętne jest w jakim sektorze będzie pracował. </w:t>
      </w:r>
      <w:r>
        <w:rPr>
          <w:rFonts w:cs="Arial"/>
        </w:rPr>
        <w:t xml:space="preserve">W dalszej kolejności </w:t>
      </w:r>
      <w:r w:rsidRPr="00206B2C">
        <w:rPr>
          <w:rFonts w:cs="Arial"/>
        </w:rPr>
        <w:t xml:space="preserve">studenci </w:t>
      </w:r>
      <w:r>
        <w:rPr>
          <w:rFonts w:cs="Arial"/>
        </w:rPr>
        <w:t>naj</w:t>
      </w:r>
      <w:r w:rsidRPr="00206B2C">
        <w:rPr>
          <w:rFonts w:cs="Arial"/>
        </w:rPr>
        <w:t xml:space="preserve">częściej skłaniali się do </w:t>
      </w:r>
      <w:r>
        <w:rPr>
          <w:rFonts w:cs="Arial"/>
        </w:rPr>
        <w:t>podjęcia zatrudnienia</w:t>
      </w:r>
      <w:r w:rsidRPr="00206B2C">
        <w:rPr>
          <w:rFonts w:cs="Arial"/>
        </w:rPr>
        <w:t xml:space="preserve"> w firmie prywatnej lub </w:t>
      </w:r>
      <w:r>
        <w:rPr>
          <w:rFonts w:cs="Arial"/>
        </w:rPr>
        <w:t xml:space="preserve">do prowadzenia </w:t>
      </w:r>
      <w:r w:rsidRPr="00206B2C">
        <w:rPr>
          <w:rFonts w:cs="Arial"/>
        </w:rPr>
        <w:t>własn</w:t>
      </w:r>
      <w:r>
        <w:rPr>
          <w:rFonts w:cs="Arial"/>
        </w:rPr>
        <w:t>ej</w:t>
      </w:r>
      <w:r w:rsidRPr="00206B2C">
        <w:rPr>
          <w:rFonts w:cs="Arial"/>
        </w:rPr>
        <w:t xml:space="preserve"> działalnoś</w:t>
      </w:r>
      <w:r>
        <w:rPr>
          <w:rFonts w:cs="Arial"/>
        </w:rPr>
        <w:t>ci</w:t>
      </w:r>
      <w:r w:rsidRPr="00206B2C">
        <w:rPr>
          <w:rFonts w:cs="Arial"/>
        </w:rPr>
        <w:t xml:space="preserve">. Najrzadziej studenci deklarowali chęć podjęcia pracy w sektorze państwowym. </w:t>
      </w:r>
    </w:p>
    <w:p w:rsidR="00491ECD" w:rsidRDefault="00491ECD" w:rsidP="00491ECD">
      <w:pPr>
        <w:ind w:firstLine="708"/>
        <w:rPr>
          <w:rFonts w:cs="Arial"/>
        </w:rPr>
      </w:pPr>
      <w:r>
        <w:rPr>
          <w:rFonts w:cs="Arial"/>
        </w:rPr>
        <w:t>Po ukończeniu nauki p</w:t>
      </w:r>
      <w:r w:rsidRPr="00206B2C">
        <w:rPr>
          <w:rFonts w:cs="Arial"/>
        </w:rPr>
        <w:t xml:space="preserve">rawie 70% studentów </w:t>
      </w:r>
      <w:r>
        <w:rPr>
          <w:rFonts w:cs="Arial"/>
        </w:rPr>
        <w:t>zadeklarowało, że</w:t>
      </w:r>
      <w:r w:rsidRPr="00206B2C">
        <w:rPr>
          <w:rFonts w:cs="Arial"/>
        </w:rPr>
        <w:t xml:space="preserve"> </w:t>
      </w:r>
      <w:r>
        <w:rPr>
          <w:rFonts w:cs="Arial"/>
        </w:rPr>
        <w:t xml:space="preserve">jest gotowe </w:t>
      </w:r>
      <w:r w:rsidRPr="00206B2C">
        <w:rPr>
          <w:rFonts w:cs="Arial"/>
        </w:rPr>
        <w:t>pod</w:t>
      </w:r>
      <w:r>
        <w:rPr>
          <w:rFonts w:cs="Arial"/>
        </w:rPr>
        <w:t>jąć</w:t>
      </w:r>
      <w:r w:rsidRPr="00206B2C">
        <w:rPr>
          <w:rFonts w:cs="Arial"/>
        </w:rPr>
        <w:t xml:space="preserve"> pracę za wynagrodzeniem mieszcząc</w:t>
      </w:r>
      <w:r>
        <w:rPr>
          <w:rFonts w:cs="Arial"/>
        </w:rPr>
        <w:t>ym</w:t>
      </w:r>
      <w:r w:rsidRPr="00206B2C">
        <w:rPr>
          <w:rFonts w:cs="Arial"/>
        </w:rPr>
        <w:t xml:space="preserve"> się w przedziale 1</w:t>
      </w:r>
      <w:r>
        <w:rPr>
          <w:rFonts w:cs="Arial"/>
        </w:rPr>
        <w:t>000</w:t>
      </w:r>
      <w:r w:rsidRPr="00206B2C">
        <w:rPr>
          <w:rFonts w:cs="Arial"/>
        </w:rPr>
        <w:t>-2000</w:t>
      </w:r>
      <w:r>
        <w:rPr>
          <w:rFonts w:cs="Arial"/>
        </w:rPr>
        <w:t xml:space="preserve"> zł</w:t>
      </w:r>
      <w:r w:rsidRPr="00206B2C">
        <w:rPr>
          <w:rFonts w:cs="Arial"/>
        </w:rPr>
        <w:t xml:space="preserve">. Co piąty </w:t>
      </w:r>
      <w:r>
        <w:rPr>
          <w:rFonts w:cs="Arial"/>
        </w:rPr>
        <w:t xml:space="preserve">student uznał, ze oczekuje </w:t>
      </w:r>
      <w:r w:rsidRPr="00206B2C">
        <w:rPr>
          <w:rFonts w:cs="Arial"/>
        </w:rPr>
        <w:t>wynagrodzeni</w:t>
      </w:r>
      <w:r>
        <w:rPr>
          <w:rFonts w:cs="Arial"/>
        </w:rPr>
        <w:t>a</w:t>
      </w:r>
      <w:r w:rsidRPr="00206B2C">
        <w:rPr>
          <w:rFonts w:cs="Arial"/>
        </w:rPr>
        <w:t xml:space="preserve"> </w:t>
      </w:r>
      <w:r>
        <w:rPr>
          <w:rFonts w:cs="Arial"/>
        </w:rPr>
        <w:t>mieszczącego się w przedziale2000</w:t>
      </w:r>
      <w:r w:rsidRPr="00206B2C">
        <w:rPr>
          <w:rFonts w:cs="Arial"/>
        </w:rPr>
        <w:t xml:space="preserve">-3000. 5% </w:t>
      </w:r>
      <w:r>
        <w:rPr>
          <w:rFonts w:cs="Arial"/>
        </w:rPr>
        <w:t>nie zdecyduje się na zatrudnienie jeśli proponowane wynagrodzenie będzie niższe niż 3</w:t>
      </w:r>
      <w:r w:rsidRPr="00206B2C">
        <w:rPr>
          <w:rFonts w:cs="Arial"/>
        </w:rPr>
        <w:t xml:space="preserve">000 zł. </w:t>
      </w:r>
    </w:p>
    <w:p w:rsidR="00491ECD" w:rsidRPr="002132A1" w:rsidRDefault="00491ECD" w:rsidP="00491ECD">
      <w:pPr>
        <w:spacing w:before="120" w:after="120"/>
        <w:rPr>
          <w:rFonts w:cs="Arial"/>
          <w:sz w:val="20"/>
          <w:szCs w:val="20"/>
        </w:rPr>
      </w:pPr>
      <w:r w:rsidRPr="002132A1">
        <w:rPr>
          <w:rFonts w:cs="Arial"/>
          <w:sz w:val="20"/>
          <w:szCs w:val="20"/>
        </w:rPr>
        <w:t xml:space="preserve">Wykres nr </w:t>
      </w:r>
      <w:r>
        <w:rPr>
          <w:rFonts w:cs="Arial"/>
          <w:sz w:val="20"/>
          <w:szCs w:val="20"/>
        </w:rPr>
        <w:t>5</w:t>
      </w:r>
      <w:r w:rsidRPr="002132A1">
        <w:rPr>
          <w:rFonts w:cs="Arial"/>
          <w:sz w:val="20"/>
          <w:szCs w:val="20"/>
        </w:rPr>
        <w:t>. Czy planujesz wyjazd za granicę w celach zarobkowych?</w:t>
      </w:r>
    </w:p>
    <w:p w:rsidR="00491ECD" w:rsidRDefault="00491ECD" w:rsidP="00491ECD">
      <w:pPr>
        <w:spacing w:before="120" w:after="120"/>
        <w:jc w:val="center"/>
        <w:rPr>
          <w:rFonts w:cs="Arial"/>
          <w:sz w:val="18"/>
          <w:szCs w:val="18"/>
        </w:rPr>
      </w:pPr>
      <w:r>
        <w:rPr>
          <w:rFonts w:cs="Arial"/>
          <w:noProof/>
          <w:sz w:val="18"/>
          <w:szCs w:val="18"/>
          <w:lang w:eastAsia="pl-PL"/>
        </w:rPr>
        <w:drawing>
          <wp:inline distT="0" distB="0" distL="0" distR="0">
            <wp:extent cx="4566437" cy="2749797"/>
            <wp:effectExtent l="12175" t="6103" r="6088"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1ECD" w:rsidRPr="007128E7" w:rsidRDefault="00491ECD" w:rsidP="00491ECD">
      <w:pPr>
        <w:spacing w:before="120" w:after="120"/>
        <w:rPr>
          <w:rFonts w:cs="Arial"/>
          <w:sz w:val="20"/>
          <w:szCs w:val="20"/>
        </w:rPr>
      </w:pPr>
      <w:r w:rsidRPr="007128E7">
        <w:rPr>
          <w:rFonts w:cs="Arial"/>
          <w:sz w:val="20"/>
          <w:szCs w:val="20"/>
        </w:rPr>
        <w:t>Źródło: Badanie Bilans Kapitału Ludzkiego. (</w:t>
      </w:r>
      <w:r w:rsidRPr="007128E7">
        <w:rPr>
          <w:rFonts w:cs="Arial"/>
          <w:color w:val="000000"/>
          <w:sz w:val="20"/>
          <w:szCs w:val="20"/>
        </w:rPr>
        <w:t>I edycja w 2010 roku oraz IV edycja w 2013 r.)</w:t>
      </w:r>
    </w:p>
    <w:p w:rsidR="00491ECD" w:rsidRDefault="00491ECD" w:rsidP="00491ECD">
      <w:pPr>
        <w:ind w:firstLine="708"/>
        <w:rPr>
          <w:rFonts w:cs="Arial"/>
        </w:rPr>
      </w:pPr>
      <w:r>
        <w:rPr>
          <w:rFonts w:cs="Arial"/>
        </w:rPr>
        <w:t xml:space="preserve">Prawie 44% studentów dopuszcza możliwość wyjazdu za granicę w celach zarobkowych a ponad 11% ma takie plany. Tym samym ponad połowa badanych osób jest skłonna wyjechać za granicę w celu uzyskania zatrudnienia. Jedynie co </w:t>
      </w:r>
      <w:r>
        <w:rPr>
          <w:rFonts w:cs="Arial"/>
        </w:rPr>
        <w:lastRenderedPageBreak/>
        <w:t>piąta osoba taką ewentualność zupełnie wyklucza i planuje znaleźć zatrudnienie na terenie kraju.</w:t>
      </w:r>
    </w:p>
    <w:p w:rsidR="00491ECD" w:rsidRDefault="00491ECD" w:rsidP="00491ECD">
      <w:pPr>
        <w:ind w:firstLine="708"/>
        <w:rPr>
          <w:rFonts w:cs="Arial"/>
        </w:rPr>
      </w:pPr>
      <w:r>
        <w:rPr>
          <w:rFonts w:cs="Arial"/>
        </w:rPr>
        <w:t xml:space="preserve">Studenci zostali również poproszeni o dokonanie samooceny wybranych kompetencji. Spośród wszystkich umiejętności studenci wskazywali na posiadanie wysokich predyspozycji przede wszystkim w zakresie: </w:t>
      </w:r>
      <w:r w:rsidRPr="00711D4B">
        <w:rPr>
          <w:rFonts w:cs="Arial"/>
        </w:rPr>
        <w:t>obsług</w:t>
      </w:r>
      <w:r>
        <w:rPr>
          <w:rFonts w:cs="Arial"/>
        </w:rPr>
        <w:t>i komputera i wykorzystania</w:t>
      </w:r>
      <w:r w:rsidRPr="00711D4B">
        <w:rPr>
          <w:rFonts w:cs="Arial"/>
        </w:rPr>
        <w:t xml:space="preserve"> Internetu</w:t>
      </w:r>
      <w:r>
        <w:rPr>
          <w:rFonts w:cs="Arial"/>
        </w:rPr>
        <w:t xml:space="preserve"> (81,8% określiło swój poziom jako wysoki lub bardzo wysoki), </w:t>
      </w:r>
      <w:r w:rsidRPr="00C6325D">
        <w:rPr>
          <w:rFonts w:cs="Arial"/>
        </w:rPr>
        <w:t>biegłe</w:t>
      </w:r>
      <w:r>
        <w:rPr>
          <w:rFonts w:cs="Arial"/>
        </w:rPr>
        <w:t>go posługiwania</w:t>
      </w:r>
      <w:r w:rsidRPr="00C6325D">
        <w:rPr>
          <w:rFonts w:cs="Arial"/>
        </w:rPr>
        <w:t xml:space="preserve"> się językiem polskim w mowie i piśmie </w:t>
      </w:r>
      <w:r>
        <w:rPr>
          <w:rFonts w:cs="Arial"/>
        </w:rPr>
        <w:t>(81,8%</w:t>
      </w:r>
      <w:r w:rsidRPr="00C6325D">
        <w:rPr>
          <w:rFonts w:cs="Arial"/>
        </w:rPr>
        <w:t xml:space="preserve"> </w:t>
      </w:r>
      <w:r>
        <w:rPr>
          <w:rFonts w:cs="Arial"/>
        </w:rPr>
        <w:t>określiło swój poziom jako wysoki lub bardzo wysoki), podstawowej</w:t>
      </w:r>
      <w:r w:rsidRPr="00C6325D">
        <w:rPr>
          <w:rFonts w:cs="Arial"/>
        </w:rPr>
        <w:t xml:space="preserve"> znajomoś</w:t>
      </w:r>
      <w:r>
        <w:rPr>
          <w:rFonts w:cs="Arial"/>
        </w:rPr>
        <w:t>ci</w:t>
      </w:r>
      <w:r w:rsidRPr="00C6325D">
        <w:rPr>
          <w:rFonts w:cs="Arial"/>
        </w:rPr>
        <w:t xml:space="preserve"> pakietu typu MS Office </w:t>
      </w:r>
      <w:r>
        <w:rPr>
          <w:rFonts w:cs="Arial"/>
        </w:rPr>
        <w:t>(80,1%</w:t>
      </w:r>
      <w:r w:rsidRPr="00C6325D">
        <w:rPr>
          <w:rFonts w:cs="Arial"/>
        </w:rPr>
        <w:t xml:space="preserve"> </w:t>
      </w:r>
      <w:r>
        <w:rPr>
          <w:rFonts w:cs="Arial"/>
        </w:rPr>
        <w:t xml:space="preserve">określiło swój poziom jako wysoki lub bardzo wysoki), </w:t>
      </w:r>
      <w:r w:rsidRPr="00C6325D">
        <w:rPr>
          <w:rFonts w:cs="Arial"/>
        </w:rPr>
        <w:t>kontakt</w:t>
      </w:r>
      <w:r>
        <w:rPr>
          <w:rFonts w:cs="Arial"/>
        </w:rPr>
        <w:t>ów</w:t>
      </w:r>
      <w:r w:rsidRPr="00C6325D">
        <w:rPr>
          <w:rFonts w:cs="Arial"/>
        </w:rPr>
        <w:t xml:space="preserve"> z innymi ludźmi, z którymi wspólnie wykonuje się zadania</w:t>
      </w:r>
      <w:r>
        <w:rPr>
          <w:rFonts w:cs="Arial"/>
        </w:rPr>
        <w:t xml:space="preserve"> (79,4%</w:t>
      </w:r>
      <w:r w:rsidRPr="00C6325D">
        <w:rPr>
          <w:rFonts w:cs="Arial"/>
        </w:rPr>
        <w:t xml:space="preserve"> </w:t>
      </w:r>
      <w:r>
        <w:rPr>
          <w:rFonts w:cs="Arial"/>
        </w:rPr>
        <w:t>określiło swój poziom jako wysoki lub bardzo wysoki) czy samodzielnego podejmowania</w:t>
      </w:r>
      <w:r w:rsidRPr="00491ECD">
        <w:rPr>
          <w:rFonts w:cs="Arial"/>
        </w:rPr>
        <w:t xml:space="preserve"> </w:t>
      </w:r>
      <w:r>
        <w:rPr>
          <w:rFonts w:cs="Arial"/>
        </w:rPr>
        <w:t>decyzji (76,8%</w:t>
      </w:r>
      <w:r w:rsidRPr="00C6325D">
        <w:rPr>
          <w:rFonts w:cs="Arial"/>
        </w:rPr>
        <w:t xml:space="preserve"> </w:t>
      </w:r>
      <w:r>
        <w:rPr>
          <w:rFonts w:cs="Arial"/>
        </w:rPr>
        <w:t xml:space="preserve">określiło swój poziom jako wysoki lub bardzo wysoki). Najrzadziej natomiast studenci wskazywali na kompetencje związane z: </w:t>
      </w:r>
      <w:r w:rsidRPr="00C6325D">
        <w:rPr>
          <w:rFonts w:cs="Arial"/>
        </w:rPr>
        <w:t>wykonywanie</w:t>
      </w:r>
      <w:r>
        <w:rPr>
          <w:rFonts w:cs="Arial"/>
        </w:rPr>
        <w:t>m</w:t>
      </w:r>
      <w:r w:rsidRPr="00C6325D">
        <w:rPr>
          <w:rFonts w:cs="Arial"/>
        </w:rPr>
        <w:t xml:space="preserve"> zaawansowanych obliczeń matematycznych</w:t>
      </w:r>
      <w:r>
        <w:rPr>
          <w:rFonts w:cs="Arial"/>
        </w:rPr>
        <w:t xml:space="preserve"> (31,4 %</w:t>
      </w:r>
      <w:r w:rsidRPr="00C6325D">
        <w:rPr>
          <w:rFonts w:cs="Arial"/>
        </w:rPr>
        <w:t xml:space="preserve"> </w:t>
      </w:r>
      <w:r>
        <w:rPr>
          <w:rFonts w:cs="Arial"/>
        </w:rPr>
        <w:t>określiło swój poziom jako wysoki lub bardzo wysoki)</w:t>
      </w:r>
      <w:r w:rsidRPr="00344D39">
        <w:rPr>
          <w:rFonts w:cs="Arial"/>
        </w:rPr>
        <w:t xml:space="preserve"> </w:t>
      </w:r>
      <w:r w:rsidRPr="00C6325D">
        <w:rPr>
          <w:rFonts w:cs="Arial"/>
        </w:rPr>
        <w:t>znajomości</w:t>
      </w:r>
      <w:r>
        <w:rPr>
          <w:rFonts w:cs="Arial"/>
        </w:rPr>
        <w:t>ą</w:t>
      </w:r>
      <w:r w:rsidRPr="00C6325D">
        <w:rPr>
          <w:rFonts w:cs="Arial"/>
        </w:rPr>
        <w:t xml:space="preserve"> specjalistycznych programów, umiejętność pisania programów czy tworzenia stron internetowych </w:t>
      </w:r>
      <w:r>
        <w:rPr>
          <w:rFonts w:cs="Arial"/>
        </w:rPr>
        <w:t>(32,2% określiło swój poziom jako wysoki lub bardzo wysoki) czy obsługą</w:t>
      </w:r>
      <w:r w:rsidRPr="00C6325D">
        <w:rPr>
          <w:rFonts w:cs="Arial"/>
        </w:rPr>
        <w:t>, montowanie</w:t>
      </w:r>
      <w:r>
        <w:rPr>
          <w:rFonts w:cs="Arial"/>
        </w:rPr>
        <w:t>m i naprawą</w:t>
      </w:r>
      <w:r w:rsidRPr="00C6325D">
        <w:rPr>
          <w:rFonts w:cs="Arial"/>
        </w:rPr>
        <w:t xml:space="preserve"> urządzeń technicznych</w:t>
      </w:r>
      <w:r>
        <w:rPr>
          <w:rFonts w:cs="Arial"/>
        </w:rPr>
        <w:t xml:space="preserve"> (33,8% określiło swój poziom jako wysoki lub bardzo wysoki).</w:t>
      </w:r>
    </w:p>
    <w:p w:rsidR="00491ECD" w:rsidRDefault="00491ECD" w:rsidP="00491ECD">
      <w:pPr>
        <w:rPr>
          <w:rFonts w:cs="Arial"/>
          <w:b/>
        </w:rPr>
      </w:pPr>
    </w:p>
    <w:p w:rsidR="008C5A4B" w:rsidRDefault="008C5A4B">
      <w:pPr>
        <w:rPr>
          <w:rFonts w:cs="Arial"/>
          <w:b/>
        </w:rPr>
      </w:pPr>
      <w:r>
        <w:rPr>
          <w:rFonts w:cs="Arial"/>
          <w:b/>
        </w:rPr>
        <w:br w:type="page"/>
      </w:r>
    </w:p>
    <w:p w:rsidR="00491ECD" w:rsidRDefault="00491ECD" w:rsidP="00491ECD">
      <w:pPr>
        <w:rPr>
          <w:rFonts w:cs="Arial"/>
          <w:b/>
        </w:rPr>
      </w:pPr>
      <w:r w:rsidRPr="00E63050">
        <w:rPr>
          <w:rFonts w:cs="Arial"/>
          <w:b/>
        </w:rPr>
        <w:lastRenderedPageBreak/>
        <w:t>Sytuacja osób młodych na wielkopolskim rynku pracy</w:t>
      </w:r>
    </w:p>
    <w:p w:rsidR="00491ECD" w:rsidRPr="00E63050" w:rsidRDefault="00491ECD" w:rsidP="00491ECD">
      <w:pPr>
        <w:rPr>
          <w:rFonts w:cs="Arial"/>
          <w:b/>
        </w:rPr>
      </w:pPr>
    </w:p>
    <w:p w:rsidR="00491ECD" w:rsidRDefault="00491ECD" w:rsidP="00491ECD">
      <w:pPr>
        <w:ind w:firstLine="708"/>
        <w:rPr>
          <w:rFonts w:cs="Arial"/>
        </w:rPr>
      </w:pPr>
      <w:r>
        <w:rPr>
          <w:rFonts w:cs="Arial"/>
        </w:rPr>
        <w:t xml:space="preserve">W porównaniu z pozostałymi regionami kraju sytuacja osób młodych </w:t>
      </w:r>
      <w:r>
        <w:rPr>
          <w:rFonts w:cs="Arial"/>
        </w:rPr>
        <w:br/>
        <w:t xml:space="preserve">w województwie wielkopolskim jest stosunkowo korzystna. </w:t>
      </w:r>
    </w:p>
    <w:p w:rsidR="00491ECD" w:rsidRPr="002132A1" w:rsidRDefault="00491ECD" w:rsidP="00491ECD">
      <w:pPr>
        <w:spacing w:before="120" w:after="120"/>
        <w:rPr>
          <w:rFonts w:cs="Arial"/>
          <w:sz w:val="20"/>
          <w:szCs w:val="20"/>
        </w:rPr>
      </w:pPr>
      <w:r>
        <w:rPr>
          <w:rFonts w:cs="Arial"/>
          <w:sz w:val="20"/>
          <w:szCs w:val="20"/>
        </w:rPr>
        <w:t>Wykres nr 6</w:t>
      </w:r>
      <w:r w:rsidRPr="002132A1">
        <w:rPr>
          <w:rFonts w:cs="Arial"/>
          <w:sz w:val="20"/>
          <w:szCs w:val="20"/>
        </w:rPr>
        <w:t>. Aktywność ekonomiczna osób w wieku 15-29</w:t>
      </w:r>
      <w:r>
        <w:rPr>
          <w:rFonts w:cs="Arial"/>
          <w:sz w:val="20"/>
          <w:szCs w:val="20"/>
        </w:rPr>
        <w:t xml:space="preserve"> w 2013 r.</w:t>
      </w:r>
      <w:r w:rsidRPr="002132A1">
        <w:rPr>
          <w:rFonts w:cs="Arial"/>
          <w:sz w:val="20"/>
          <w:szCs w:val="20"/>
        </w:rPr>
        <w:t>, z uwzględnieniem województwa</w:t>
      </w:r>
    </w:p>
    <w:p w:rsidR="00491ECD" w:rsidRDefault="00491ECD" w:rsidP="00491ECD">
      <w:pPr>
        <w:jc w:val="center"/>
        <w:rPr>
          <w:rFonts w:cs="Arial"/>
        </w:rPr>
      </w:pPr>
      <w:r>
        <w:rPr>
          <w:rFonts w:cs="Arial"/>
          <w:noProof/>
          <w:lang w:eastAsia="pl-PL"/>
        </w:rPr>
        <w:drawing>
          <wp:inline distT="0" distB="0" distL="0" distR="0">
            <wp:extent cx="6116385" cy="3842675"/>
            <wp:effectExtent l="19050" t="0" r="17715" b="5425"/>
            <wp:docPr id="38"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1ECD" w:rsidRPr="002132A1" w:rsidRDefault="00491ECD" w:rsidP="00491ECD">
      <w:pPr>
        <w:spacing w:before="120" w:after="120"/>
        <w:rPr>
          <w:rFonts w:cs="Arial"/>
          <w:sz w:val="20"/>
          <w:szCs w:val="20"/>
        </w:rPr>
      </w:pPr>
      <w:r w:rsidRPr="002132A1">
        <w:rPr>
          <w:rFonts w:cs="Arial"/>
          <w:sz w:val="20"/>
          <w:szCs w:val="20"/>
        </w:rPr>
        <w:t>Źródło: : Bank Danych Lokalnych, GUS</w:t>
      </w:r>
    </w:p>
    <w:p w:rsidR="00491ECD" w:rsidRDefault="00491ECD" w:rsidP="00491ECD">
      <w:pPr>
        <w:ind w:firstLine="708"/>
        <w:rPr>
          <w:rFonts w:cs="Arial"/>
        </w:rPr>
      </w:pPr>
      <w:r>
        <w:rPr>
          <w:rFonts w:cs="Arial"/>
        </w:rPr>
        <w:t>W 2013 r. w województwie wielkopolskim zanotowano najwyższy wskaźnik zatrudnienia osób w wieku 15-29. Równocześnie zanotowano najniższy udział osób biernych zawodowo w tej kategorii wiekowej. Jedynie w województwie mazowieckim wystąpiła niższa stopa bezrobocia. Należy podkreślić, że powyższe analizy zostały sporządzone na podstawie Badania Aktywności Ekonomicznej Ludności</w:t>
      </w:r>
      <w:r>
        <w:rPr>
          <w:rStyle w:val="Odwoanieprzypisudolnego"/>
          <w:rFonts w:cs="Arial"/>
        </w:rPr>
        <w:footnoteReference w:id="1"/>
      </w:r>
      <w:r>
        <w:rPr>
          <w:rFonts w:cs="Arial"/>
        </w:rPr>
        <w:t xml:space="preserve"> </w:t>
      </w:r>
    </w:p>
    <w:p w:rsidR="00491ECD" w:rsidRDefault="00491ECD" w:rsidP="00491ECD">
      <w:pPr>
        <w:rPr>
          <w:rFonts w:cs="Arial"/>
        </w:rPr>
      </w:pPr>
      <w:r>
        <w:rPr>
          <w:rFonts w:cs="Arial"/>
        </w:rPr>
        <w:t xml:space="preserve">Zupełnie inaczej sytuacja się przedstawia w odniesieniu do bezrobocia rejestrowanego. </w:t>
      </w:r>
    </w:p>
    <w:p w:rsidR="00491ECD" w:rsidRDefault="00491ECD" w:rsidP="00491ECD">
      <w:pPr>
        <w:ind w:firstLine="708"/>
        <w:rPr>
          <w:rFonts w:cs="Arial"/>
        </w:rPr>
      </w:pPr>
      <w:r>
        <w:rPr>
          <w:rFonts w:cs="Arial"/>
        </w:rPr>
        <w:lastRenderedPageBreak/>
        <w:t xml:space="preserve">Zgodnie z tą miarą w ubiegłym roku województwo wielkopolskie należało do województw o największym udziale osób młodych w ogóle bezrobotnych oraz zanotowało jedną z wyższych stóp bezrobocia. </w:t>
      </w:r>
    </w:p>
    <w:p w:rsidR="00491ECD" w:rsidRPr="002132A1" w:rsidRDefault="00491ECD" w:rsidP="002D60A3">
      <w:pPr>
        <w:spacing w:before="120" w:after="120" w:line="240" w:lineRule="auto"/>
        <w:rPr>
          <w:rFonts w:cs="Arial"/>
          <w:sz w:val="20"/>
          <w:szCs w:val="20"/>
        </w:rPr>
      </w:pPr>
      <w:r w:rsidRPr="002132A1">
        <w:rPr>
          <w:rFonts w:cs="Arial"/>
          <w:sz w:val="20"/>
          <w:szCs w:val="20"/>
        </w:rPr>
        <w:t xml:space="preserve">Wykres nr </w:t>
      </w:r>
      <w:r>
        <w:rPr>
          <w:rFonts w:cs="Arial"/>
          <w:sz w:val="20"/>
          <w:szCs w:val="20"/>
        </w:rPr>
        <w:t>7</w:t>
      </w:r>
      <w:r w:rsidRPr="002132A1">
        <w:rPr>
          <w:rFonts w:cs="Arial"/>
          <w:sz w:val="20"/>
          <w:szCs w:val="20"/>
        </w:rPr>
        <w:t xml:space="preserve">. </w:t>
      </w:r>
      <w:r>
        <w:rPr>
          <w:rFonts w:cs="Arial"/>
          <w:sz w:val="20"/>
          <w:szCs w:val="20"/>
        </w:rPr>
        <w:t xml:space="preserve">Udział osób </w:t>
      </w:r>
      <w:r w:rsidRPr="002132A1">
        <w:rPr>
          <w:rFonts w:cs="Arial"/>
          <w:sz w:val="20"/>
          <w:szCs w:val="20"/>
        </w:rPr>
        <w:t>młodych</w:t>
      </w:r>
      <w:r>
        <w:rPr>
          <w:rFonts w:cs="Arial"/>
          <w:sz w:val="20"/>
          <w:szCs w:val="20"/>
        </w:rPr>
        <w:t xml:space="preserve"> zarejestrowanych w ogóle zarejestrowanych</w:t>
      </w:r>
      <w:r w:rsidRPr="002132A1">
        <w:rPr>
          <w:rFonts w:cs="Arial"/>
          <w:sz w:val="20"/>
          <w:szCs w:val="20"/>
        </w:rPr>
        <w:t xml:space="preserve"> w 2013 r. z uwzględnieniem województwa</w:t>
      </w:r>
    </w:p>
    <w:p w:rsidR="00491ECD" w:rsidRDefault="00491ECD" w:rsidP="00491ECD">
      <w:pPr>
        <w:jc w:val="center"/>
        <w:rPr>
          <w:rFonts w:cs="Arial"/>
        </w:rPr>
      </w:pPr>
      <w:r>
        <w:rPr>
          <w:rFonts w:cs="Arial"/>
          <w:noProof/>
          <w:lang w:eastAsia="pl-PL"/>
        </w:rPr>
        <w:drawing>
          <wp:inline distT="0" distB="0" distL="0" distR="0">
            <wp:extent cx="5889626" cy="3563301"/>
            <wp:effectExtent l="19050" t="0" r="15874" b="0"/>
            <wp:docPr id="4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1ECD" w:rsidRDefault="00491ECD" w:rsidP="00491ECD">
      <w:pPr>
        <w:spacing w:before="120" w:after="120"/>
        <w:rPr>
          <w:rFonts w:cs="Arial"/>
        </w:rPr>
      </w:pPr>
      <w:r w:rsidRPr="002132A1">
        <w:rPr>
          <w:rFonts w:cs="Arial"/>
          <w:sz w:val="20"/>
          <w:szCs w:val="20"/>
        </w:rPr>
        <w:t>Źródło:</w:t>
      </w:r>
      <w:r w:rsidRPr="002B1183">
        <w:rPr>
          <w:rFonts w:cs="Arial"/>
          <w:sz w:val="20"/>
          <w:szCs w:val="20"/>
        </w:rPr>
        <w:t xml:space="preserve"> Bank Danych Lokalnych, GUS</w:t>
      </w:r>
    </w:p>
    <w:p w:rsidR="00491ECD" w:rsidRPr="00F24F71" w:rsidRDefault="00491ECD" w:rsidP="00491ECD">
      <w:pPr>
        <w:ind w:firstLine="708"/>
        <w:rPr>
          <w:rFonts w:cs="Arial"/>
        </w:rPr>
      </w:pPr>
      <w:r>
        <w:rPr>
          <w:rFonts w:cs="Arial"/>
        </w:rPr>
        <w:t xml:space="preserve">Chcąc dokładniej przyjrzeć się zjawisku bezrobocia osób młodych </w:t>
      </w:r>
      <w:r w:rsidR="002D60A3">
        <w:rPr>
          <w:rFonts w:cs="Arial"/>
        </w:rPr>
        <w:br/>
      </w:r>
      <w:r>
        <w:rPr>
          <w:rFonts w:cs="Arial"/>
        </w:rPr>
        <w:t xml:space="preserve">w ramach projektu Wielkopolskie Obserwatorium Rynku Pracy II przeprowadzono badanie własne </w:t>
      </w:r>
      <w:r w:rsidRPr="00F24F71">
        <w:rPr>
          <w:rFonts w:cs="Arial"/>
        </w:rPr>
        <w:t>na terenie wszystkich powiatów województwa wielkopolskiego w okresie kwiecień – czerwiec 201</w:t>
      </w:r>
      <w:r>
        <w:rPr>
          <w:rFonts w:cs="Arial"/>
        </w:rPr>
        <w:t>4</w:t>
      </w:r>
      <w:r w:rsidRPr="00F24F71">
        <w:rPr>
          <w:rFonts w:cs="Arial"/>
        </w:rPr>
        <w:t xml:space="preserve"> r. Objęto nim </w:t>
      </w:r>
      <w:r>
        <w:rPr>
          <w:rFonts w:cs="Arial"/>
        </w:rPr>
        <w:t>osoby które nie przekroczyły 34 roku życia</w:t>
      </w:r>
      <w:r w:rsidRPr="00F24F71">
        <w:rPr>
          <w:rFonts w:cs="Arial"/>
        </w:rPr>
        <w:t xml:space="preserve">, rejestrujące się jako osoby bezrobotne w Powiatowych Urzędach Pracy. Łącznie ankietę wypełniło </w:t>
      </w:r>
      <w:r>
        <w:rPr>
          <w:rFonts w:cs="Arial"/>
        </w:rPr>
        <w:t>2</w:t>
      </w:r>
      <w:r w:rsidRPr="00F24F71">
        <w:rPr>
          <w:rFonts w:cs="Arial"/>
        </w:rPr>
        <w:t> </w:t>
      </w:r>
      <w:r>
        <w:rPr>
          <w:rFonts w:cs="Arial"/>
        </w:rPr>
        <w:t>825</w:t>
      </w:r>
      <w:r w:rsidRPr="00F24F71">
        <w:rPr>
          <w:rFonts w:cs="Arial"/>
        </w:rPr>
        <w:t xml:space="preserve"> </w:t>
      </w:r>
      <w:r>
        <w:rPr>
          <w:rFonts w:cs="Arial"/>
        </w:rPr>
        <w:t>osób.</w:t>
      </w:r>
    </w:p>
    <w:p w:rsidR="00491ECD" w:rsidRDefault="00491ECD" w:rsidP="00491ECD">
      <w:pPr>
        <w:ind w:firstLine="708"/>
        <w:rPr>
          <w:rFonts w:cs="Arial"/>
        </w:rPr>
      </w:pPr>
      <w:r>
        <w:rPr>
          <w:rFonts w:cs="Arial"/>
        </w:rPr>
        <w:t xml:space="preserve">Większości osób (72,8%) które wzięły udział w badaniu bardzo zależy na podjęciu pracy, dlatego szukają jej zarówno za pośrednictwem powiatowych urzędów pracy, jak i samodzielnie. Prawie 17% szuka pracy samodzielnie </w:t>
      </w:r>
      <w:r w:rsidR="002D60A3">
        <w:rPr>
          <w:rFonts w:cs="Arial"/>
        </w:rPr>
        <w:br/>
      </w:r>
      <w:r>
        <w:rPr>
          <w:rFonts w:cs="Arial"/>
        </w:rPr>
        <w:t xml:space="preserve">i pomimo rejestracji nie korzysta z pomocy oferowanej przez urzędy pracy. Ponad 6% liczy wyłącznie na pomoc instytucjonalną, natomiast 4% nie szuka pracy ponieważ w tej chwili nie interesuje ich podjęcie zatrudnienia. </w:t>
      </w:r>
    </w:p>
    <w:p w:rsidR="00491ECD" w:rsidRDefault="00491ECD" w:rsidP="00491ECD">
      <w:pPr>
        <w:ind w:firstLine="708"/>
        <w:rPr>
          <w:rFonts w:cs="Arial"/>
        </w:rPr>
      </w:pPr>
      <w:r>
        <w:rPr>
          <w:rFonts w:cs="Arial"/>
        </w:rPr>
        <w:t xml:space="preserve">Zestawiając uzyskane wyniki z poszczególnymi przedziałami wiekowymi można zauważyć, że wraz z wiekiem coraz mniej osób szuka pracy zarówno za pośrednictwem PUP, jak i samodzielnie, rośnie natomiast udział osób we </w:t>
      </w:r>
      <w:r>
        <w:rPr>
          <w:rFonts w:cs="Arial"/>
        </w:rPr>
        <w:lastRenderedPageBreak/>
        <w:t xml:space="preserve">wszystkich pozostałych grupach. Samodzielnie pracy szukają nieznacznie częściej mężczyźni niż kobiety. Kolejnym wnioskiem płynącym z przeprowadzonej analizy jest fakt, że osoby z niższym wykształceniem częściej niż pozostałe deklarowały, że nie są w tej chwili zainteresowane podjęciem zatrudnienia i pracy nie szukają lub całkowicie zdawały się w tej kwestii na pomoc PUP. </w:t>
      </w:r>
    </w:p>
    <w:p w:rsidR="00491ECD" w:rsidRDefault="00491ECD" w:rsidP="00491ECD">
      <w:pPr>
        <w:ind w:firstLine="708"/>
        <w:rPr>
          <w:rFonts w:cs="Arial"/>
        </w:rPr>
      </w:pPr>
      <w:r>
        <w:rPr>
          <w:rFonts w:cs="Arial"/>
        </w:rPr>
        <w:t xml:space="preserve">Można również zaobserwować pewne zależności pomiędzy udzielanymi odpowiedziami a powiatem. ¼ respondentów z powiatu pleszewskiego zadeklarowała, że nie jest zainteresowana w tej chwili podjęciem zatrudnienia, dlatego nie szuka pracy w ogóle. Wysoki odsetek osób wybierających </w:t>
      </w:r>
      <w:r w:rsidR="002D60A3">
        <w:rPr>
          <w:rFonts w:cs="Arial"/>
        </w:rPr>
        <w:br/>
      </w:r>
      <w:r>
        <w:rPr>
          <w:rFonts w:cs="Arial"/>
        </w:rPr>
        <w:t>tę odpowiedź zanotowano również w powiatach: słupeckim (17%) i kępińskim (15%). Największy udział osób zmotywowanych do podjęcia zatrudnienia, szukających pracy zarówno samodzielnie jak i za pośrednictwem PUP wystąpił w powiatach: ostrzeszowski (93%), kaliskim (92%) oraz śremskim (87%). Najwięcej osób szuka samodzielnie</w:t>
      </w:r>
      <w:r w:rsidRPr="00491ECD">
        <w:rPr>
          <w:rFonts w:cs="Arial"/>
        </w:rPr>
        <w:t xml:space="preserve"> </w:t>
      </w:r>
      <w:r>
        <w:rPr>
          <w:rFonts w:cs="Arial"/>
        </w:rPr>
        <w:t>pracy i nie korzysta z pomocy PUP wystąpiło w powiatach: kępińskim (44%), słupeckim (30%) oraz poznańskim (29%). Natomiast najwięcej osób rezygnujących z poszukiwania pracy samemu i zdających się wyłącznie na pomoc PUP zaobserwowano w powiatach: słupeckim (20%), gostyńskim (16%) i pleszewskim (15%).</w:t>
      </w:r>
    </w:p>
    <w:p w:rsidR="00491ECD" w:rsidRDefault="00491ECD" w:rsidP="00491ECD">
      <w:pPr>
        <w:ind w:firstLine="708"/>
        <w:rPr>
          <w:rFonts w:cs="Arial"/>
        </w:rPr>
      </w:pPr>
    </w:p>
    <w:p w:rsidR="00491ECD" w:rsidRPr="007128E7" w:rsidRDefault="00491ECD" w:rsidP="00491ECD">
      <w:pPr>
        <w:spacing w:before="120" w:after="120"/>
        <w:rPr>
          <w:rFonts w:cs="Arial"/>
          <w:sz w:val="20"/>
          <w:szCs w:val="20"/>
        </w:rPr>
      </w:pPr>
      <w:r w:rsidRPr="007128E7">
        <w:rPr>
          <w:rFonts w:cs="Arial"/>
          <w:sz w:val="20"/>
          <w:szCs w:val="20"/>
        </w:rPr>
        <w:t>Wykres nr 8. Motywacja do podjęcia zatrudnienia oraz sposoby poszukiwania pracy osób młodych</w:t>
      </w:r>
    </w:p>
    <w:p w:rsidR="00491ECD" w:rsidRPr="007128E7" w:rsidRDefault="00491ECD" w:rsidP="00491ECD">
      <w:pPr>
        <w:rPr>
          <w:rFonts w:cs="Arial"/>
          <w:sz w:val="20"/>
          <w:szCs w:val="20"/>
        </w:rPr>
      </w:pPr>
      <w:r>
        <w:rPr>
          <w:rFonts w:cs="Arial"/>
          <w:noProof/>
          <w:sz w:val="20"/>
          <w:szCs w:val="20"/>
          <w:lang w:eastAsia="pl-PL"/>
        </w:rPr>
        <w:drawing>
          <wp:inline distT="0" distB="0" distL="0" distR="0">
            <wp:extent cx="6292479" cy="3356753"/>
            <wp:effectExtent l="12186" t="6085" r="7235" b="2662"/>
            <wp:docPr id="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1ECD" w:rsidRPr="002132A1" w:rsidRDefault="00491ECD" w:rsidP="00491ECD">
      <w:pPr>
        <w:spacing w:before="120" w:after="120"/>
        <w:rPr>
          <w:rFonts w:cs="Arial"/>
          <w:sz w:val="20"/>
          <w:szCs w:val="20"/>
        </w:rPr>
      </w:pPr>
      <w:r w:rsidRPr="002132A1">
        <w:rPr>
          <w:rFonts w:cs="Arial"/>
          <w:sz w:val="20"/>
          <w:szCs w:val="20"/>
        </w:rPr>
        <w:t>Źródło: Opracowanie własne</w:t>
      </w:r>
    </w:p>
    <w:p w:rsidR="00491ECD" w:rsidRDefault="00491ECD" w:rsidP="00491ECD">
      <w:pPr>
        <w:ind w:firstLine="708"/>
        <w:rPr>
          <w:rFonts w:cs="Arial"/>
        </w:rPr>
      </w:pPr>
      <w:r>
        <w:rPr>
          <w:rFonts w:cs="Arial"/>
        </w:rPr>
        <w:lastRenderedPageBreak/>
        <w:t xml:space="preserve">W badaniu zaobserwowano również, że większość osób młodych rejestrujących się w PUP nie korzysta, ani w ciągu ostatnich 2 lat nie korzystało </w:t>
      </w:r>
      <w:r w:rsidR="00757ACF">
        <w:rPr>
          <w:rFonts w:cs="Arial"/>
        </w:rPr>
        <w:br/>
      </w:r>
      <w:r>
        <w:rPr>
          <w:rFonts w:cs="Arial"/>
        </w:rPr>
        <w:t xml:space="preserve">z agencji pośrednictwa pracy, instytucji szkoleniowych czy pomocy doradcy zawodowego (poza PUP). Spośród wszystkich respondentów nieco ponad 30% skorzystało z usług agencji pośrednictwa pracy, prawie 13% z porady doradcy zawodowego. Najmniejszą popularnością cieszyły się instytucje szkoleniowe, </w:t>
      </w:r>
      <w:r w:rsidR="00757ACF">
        <w:rPr>
          <w:rFonts w:cs="Arial"/>
        </w:rPr>
        <w:br/>
      </w:r>
      <w:r>
        <w:rPr>
          <w:rFonts w:cs="Arial"/>
        </w:rPr>
        <w:t xml:space="preserve">z których skorzystał co 10 badany. Z ofert tych ostatnich częściej korzystały osoby z wyższym wykształceniem. </w:t>
      </w:r>
    </w:p>
    <w:p w:rsidR="00491ECD" w:rsidRDefault="00491ECD" w:rsidP="00491ECD">
      <w:pPr>
        <w:ind w:firstLine="708"/>
        <w:rPr>
          <w:rFonts w:cs="Arial"/>
        </w:rPr>
      </w:pPr>
      <w:r>
        <w:rPr>
          <w:rFonts w:cs="Arial"/>
        </w:rPr>
        <w:t xml:space="preserve">Analizując przyczyny rejestracji osób młodych w powiatowych urzędach pracy, można stwierdzić, że najczęstszą motywacją do uzyskania statusu osoby bezrobotnej jest chęć uzyskania ubezpieczenia zdrowotnego. Na podstawie uzyskanych wyników widać wyraźnie, że jego znaczenie wzrasta wraz z wiekiem. </w:t>
      </w:r>
    </w:p>
    <w:p w:rsidR="00491ECD" w:rsidRDefault="00491ECD" w:rsidP="00757ACF">
      <w:pPr>
        <w:ind w:firstLine="0"/>
        <w:rPr>
          <w:rFonts w:cs="Arial"/>
        </w:rPr>
      </w:pPr>
      <w:r>
        <w:rPr>
          <w:rFonts w:cs="Arial"/>
        </w:rPr>
        <w:t>Dla 30% motywacją do zarejestrowania się w powiatowym urzędzie pracy jest możliwość odbycia stażu. Zdecydowanie częściej uzyskaniem skierowania na staż zainteresowane były kobiety niż mężczyźni. Wraz z wiekiem maleje motywacja do podjęcia stażu. O ile spośród osób w przedziale wiekowym 18-21, ponad połowa pragnęła odbyć staż, o tyle w przedziale</w:t>
      </w:r>
      <w:r w:rsidRPr="00301295">
        <w:rPr>
          <w:rFonts w:cs="Arial"/>
        </w:rPr>
        <w:t xml:space="preserve"> </w:t>
      </w:r>
      <w:r>
        <w:rPr>
          <w:rFonts w:cs="Arial"/>
        </w:rPr>
        <w:t xml:space="preserve">wiekowym 31-34 jedynie co 10 osoba była nim zainteresowana. </w:t>
      </w:r>
    </w:p>
    <w:p w:rsidR="00491ECD" w:rsidRPr="002132A1" w:rsidRDefault="00491ECD" w:rsidP="00491ECD">
      <w:pPr>
        <w:spacing w:before="120" w:after="120"/>
        <w:rPr>
          <w:rFonts w:cs="Arial"/>
          <w:sz w:val="20"/>
          <w:szCs w:val="20"/>
        </w:rPr>
      </w:pPr>
      <w:r w:rsidRPr="002132A1">
        <w:rPr>
          <w:rFonts w:cs="Arial"/>
          <w:sz w:val="20"/>
          <w:szCs w:val="20"/>
        </w:rPr>
        <w:t xml:space="preserve">Wykres nr </w:t>
      </w:r>
      <w:r>
        <w:rPr>
          <w:rFonts w:cs="Arial"/>
          <w:sz w:val="20"/>
          <w:szCs w:val="20"/>
        </w:rPr>
        <w:t>9</w:t>
      </w:r>
      <w:r w:rsidRPr="002132A1">
        <w:rPr>
          <w:rFonts w:cs="Arial"/>
          <w:sz w:val="20"/>
          <w:szCs w:val="20"/>
        </w:rPr>
        <w:t>. Przyczyny rejestracji osób młodych w PUP</w:t>
      </w:r>
    </w:p>
    <w:p w:rsidR="00491ECD" w:rsidRDefault="00491ECD" w:rsidP="00491ECD">
      <w:pPr>
        <w:jc w:val="center"/>
        <w:rPr>
          <w:rFonts w:cs="Arial"/>
        </w:rPr>
      </w:pPr>
      <w:r>
        <w:rPr>
          <w:rFonts w:cs="Arial"/>
          <w:noProof/>
          <w:lang w:eastAsia="pl-PL"/>
        </w:rPr>
        <w:drawing>
          <wp:inline distT="0" distB="0" distL="0" distR="0">
            <wp:extent cx="5940289" cy="3537204"/>
            <wp:effectExtent l="12199" t="6096" r="3812" b="0"/>
            <wp:docPr id="5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1ECD" w:rsidRPr="002132A1" w:rsidRDefault="00491ECD" w:rsidP="00491ECD">
      <w:pPr>
        <w:spacing w:before="120" w:after="120"/>
        <w:rPr>
          <w:rFonts w:cs="Arial"/>
          <w:sz w:val="20"/>
          <w:szCs w:val="20"/>
        </w:rPr>
      </w:pPr>
      <w:r w:rsidRPr="002132A1">
        <w:rPr>
          <w:rFonts w:cs="Arial"/>
          <w:sz w:val="20"/>
          <w:szCs w:val="20"/>
        </w:rPr>
        <w:t>Źródło: Opracowanie własne</w:t>
      </w:r>
    </w:p>
    <w:p w:rsidR="00491ECD" w:rsidRDefault="00491ECD" w:rsidP="00491ECD">
      <w:pPr>
        <w:ind w:firstLine="708"/>
        <w:rPr>
          <w:rFonts w:cs="Arial"/>
        </w:rPr>
      </w:pPr>
      <w:r>
        <w:rPr>
          <w:rFonts w:cs="Arial"/>
        </w:rPr>
        <w:lastRenderedPageBreak/>
        <w:t xml:space="preserve">Ponad 10% osób młodych rejestrujących się w PUP kierowało się w swojej decyzji możliwością uzyskania zasiłku dla bezrobotnych. Podobnie jak </w:t>
      </w:r>
      <w:r w:rsidR="00757ACF">
        <w:rPr>
          <w:rFonts w:cs="Arial"/>
        </w:rPr>
        <w:br/>
      </w:r>
      <w:r>
        <w:rPr>
          <w:rFonts w:cs="Arial"/>
        </w:rPr>
        <w:t>w przypadku ubezpieczenia wraz z wiekiem wzrasta jego znaczenie. Dla prawie 9% jedną z głównych przyczyn rejestracji była możliwość uzyskania dotacji na rozpoczęcie działalności gospodarczej. Większość w tej grupie stanowili mężczyźni. Spośród wszystkich odpowiedzi, najrzadziej respondenci wskazywali możliwość skorzystania z poradnictwa zawodowego oraz skorzystania z prac interwencyjnych lub robót publicznych (tą formą zainteresowane były przede wszystkim osoby z wykształceniem gimnazjalnym lub niższym).</w:t>
      </w:r>
    </w:p>
    <w:p w:rsidR="00491ECD" w:rsidRDefault="00491ECD" w:rsidP="00491ECD">
      <w:pPr>
        <w:spacing w:before="120" w:after="120"/>
        <w:ind w:firstLine="708"/>
        <w:rPr>
          <w:rFonts w:cs="Arial"/>
          <w:sz w:val="20"/>
          <w:szCs w:val="20"/>
        </w:rPr>
      </w:pPr>
      <w:r>
        <w:rPr>
          <w:rFonts w:cs="Arial"/>
        </w:rPr>
        <w:t xml:space="preserve">Osoby młode biorące udział w badaniu zostały również poproszone </w:t>
      </w:r>
      <w:r>
        <w:rPr>
          <w:rFonts w:cs="Arial"/>
        </w:rPr>
        <w:br/>
        <w:t>o wskazanie działań jakie byłyby skłonne podjąć aby uzyskać zatrudnienie. Najwięcej osób potwierdziło swoją motywacje do wzięcia udziału w szkoleniu zawodowym oraz podjęcia pracy niezgodnej z posiadanym wykształceniem/posiadanym zawodem.</w:t>
      </w:r>
    </w:p>
    <w:p w:rsidR="00491ECD" w:rsidRPr="002132A1" w:rsidRDefault="00491ECD" w:rsidP="00491ECD">
      <w:pPr>
        <w:spacing w:before="120" w:after="120"/>
        <w:rPr>
          <w:rFonts w:cs="Arial"/>
          <w:sz w:val="20"/>
          <w:szCs w:val="20"/>
        </w:rPr>
      </w:pPr>
      <w:r w:rsidRPr="002132A1">
        <w:rPr>
          <w:rFonts w:cs="Arial"/>
          <w:sz w:val="20"/>
          <w:szCs w:val="20"/>
        </w:rPr>
        <w:t xml:space="preserve">Wykres nr </w:t>
      </w:r>
      <w:r>
        <w:rPr>
          <w:rFonts w:cs="Arial"/>
          <w:sz w:val="20"/>
          <w:szCs w:val="20"/>
        </w:rPr>
        <w:t>10</w:t>
      </w:r>
      <w:r w:rsidRPr="002132A1">
        <w:rPr>
          <w:rFonts w:cs="Arial"/>
          <w:sz w:val="20"/>
          <w:szCs w:val="20"/>
        </w:rPr>
        <w:t>. Działania, jakie skłonne byłyby podjąć młode osoby w celu uzyskania pracy</w:t>
      </w:r>
    </w:p>
    <w:p w:rsidR="00491ECD" w:rsidRDefault="00491ECD" w:rsidP="00491ECD">
      <w:pPr>
        <w:rPr>
          <w:rFonts w:cs="Arial"/>
        </w:rPr>
      </w:pPr>
      <w:r>
        <w:rPr>
          <w:rFonts w:cs="Arial"/>
          <w:noProof/>
          <w:lang w:eastAsia="pl-PL"/>
        </w:rPr>
        <w:drawing>
          <wp:inline distT="0" distB="0" distL="0" distR="0">
            <wp:extent cx="6169676" cy="4591308"/>
            <wp:effectExtent l="12179" t="6092" r="3045" b="0"/>
            <wp:docPr id="55"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1ECD" w:rsidRPr="002132A1" w:rsidRDefault="00491ECD" w:rsidP="00491ECD">
      <w:pPr>
        <w:spacing w:before="120" w:after="120"/>
        <w:rPr>
          <w:rFonts w:cs="Arial"/>
          <w:sz w:val="20"/>
          <w:szCs w:val="20"/>
        </w:rPr>
      </w:pPr>
      <w:r w:rsidRPr="002132A1">
        <w:rPr>
          <w:rFonts w:cs="Arial"/>
          <w:sz w:val="20"/>
          <w:szCs w:val="20"/>
        </w:rPr>
        <w:t>Źródło: Opracowanie własne</w:t>
      </w:r>
    </w:p>
    <w:p w:rsidR="00491ECD" w:rsidRPr="00BB508C" w:rsidRDefault="00491ECD" w:rsidP="00491ECD">
      <w:pPr>
        <w:ind w:firstLine="708"/>
        <w:rPr>
          <w:rFonts w:cs="Arial"/>
        </w:rPr>
      </w:pPr>
      <w:r>
        <w:rPr>
          <w:rFonts w:cs="Arial"/>
        </w:rPr>
        <w:lastRenderedPageBreak/>
        <w:t xml:space="preserve">Spośród przedstawionych działań osoby młode najmniej skłonne są podjąć pracę w „szarej strefie” oraz zmiany miejsca zamieszkania. Ponad połowa jest przekonana, że nie chce podejmować działalności gospodarczej, natomiast </w:t>
      </w:r>
      <w:r w:rsidR="00757ACF">
        <w:rPr>
          <w:rFonts w:cs="Arial"/>
        </w:rPr>
        <w:br/>
      </w:r>
      <w:r>
        <w:rPr>
          <w:rFonts w:cs="Arial"/>
        </w:rPr>
        <w:t xml:space="preserve">w grupie która zadeklarowała taką możliwość większość stanowili mężczyźni. Nieco ponad 40% ankietowanych jest gotowa podjąć kształcenie w formie szkoły/studiów. Kobiety częściej są skłonne podjąć edukację niż mężczyźni. Ponadto na podstawie uzyskanych wyników można stwierdzić, że wraz z wiekiem maleje chęć do podejmowania kształcenia. W odniesieniu do mobilności przestrzennej osób młodych można zauważyć, że zdecydowanie więcej osób jest skłonnych pracować poza miejscem zamieszkania, co wiązałaby się </w:t>
      </w:r>
      <w:r w:rsidR="00757ACF">
        <w:rPr>
          <w:rFonts w:cs="Arial"/>
        </w:rPr>
        <w:br/>
      </w:r>
      <w:r>
        <w:rPr>
          <w:rFonts w:cs="Arial"/>
        </w:rPr>
        <w:t xml:space="preserve">z codziennymi dojazdami, niż zmienić miejsce zamieszkania. Ponadto zaobserwowano, że osoby zamieszkujące mniejsze ośrodki są zdecydowanie bardziej skłonne pracować poza miejscem zamieszkania niż osoby z dużych miast, jednakże tylko w sytuacji jeżeli nie wiąże się to ze zmianą miejsca zamieszkania. 30% ankietowanych dopuszcza możliwość wyjazdu za granicę </w:t>
      </w:r>
      <w:r w:rsidR="00757ACF">
        <w:rPr>
          <w:rFonts w:cs="Arial"/>
        </w:rPr>
        <w:br/>
      </w:r>
      <w:r>
        <w:rPr>
          <w:rFonts w:cs="Arial"/>
        </w:rPr>
        <w:t xml:space="preserve">w celach zarobkowych. Dwa razy częściej na taką decyzję zdecydowaliby się mężczyźni. Ponad połowa respondentów jest gotowa podjąć pracę na podstawie umowy zlecenia, prawie połowa przyjęłaby ofertę pracy za płacę minimalną. </w:t>
      </w:r>
      <w:r w:rsidR="00757ACF">
        <w:rPr>
          <w:rFonts w:cs="Arial"/>
        </w:rPr>
        <w:br/>
      </w:r>
      <w:r>
        <w:rPr>
          <w:rFonts w:cs="Arial"/>
        </w:rPr>
        <w:t xml:space="preserve">W obu tych przypadkach częściej odpowiedzi twierdzącej udzielały kobiety. </w:t>
      </w:r>
    </w:p>
    <w:p w:rsidR="00491ECD" w:rsidRDefault="00491ECD" w:rsidP="00491ECD">
      <w:pPr>
        <w:rPr>
          <w:rFonts w:cs="Arial"/>
        </w:rPr>
      </w:pPr>
    </w:p>
    <w:p w:rsidR="00491ECD" w:rsidRDefault="00491ECD" w:rsidP="00491ECD">
      <w:pPr>
        <w:rPr>
          <w:rFonts w:cs="Arial"/>
          <w:b/>
        </w:rPr>
      </w:pPr>
      <w:r>
        <w:rPr>
          <w:rFonts w:cs="Arial"/>
          <w:b/>
        </w:rPr>
        <w:t>PODSUMOWANIE</w:t>
      </w:r>
    </w:p>
    <w:p w:rsidR="00491ECD" w:rsidRPr="00CD003C" w:rsidRDefault="00491ECD" w:rsidP="00491ECD">
      <w:pPr>
        <w:rPr>
          <w:rFonts w:cs="Arial"/>
          <w:b/>
        </w:rPr>
      </w:pPr>
    </w:p>
    <w:p w:rsidR="00491ECD" w:rsidRDefault="00491ECD" w:rsidP="00491ECD">
      <w:pPr>
        <w:rPr>
          <w:rFonts w:cs="Arial"/>
        </w:rPr>
      </w:pPr>
      <w:r w:rsidRPr="009C6778">
        <w:rPr>
          <w:rFonts w:cs="Arial"/>
        </w:rPr>
        <w:t xml:space="preserve">Na sytuację osób młodych na rynku pracy wpływa wiele czynników. </w:t>
      </w:r>
      <w:r>
        <w:rPr>
          <w:rFonts w:cs="Arial"/>
        </w:rPr>
        <w:t>Można do nich zaliczyć m.in.:</w:t>
      </w:r>
    </w:p>
    <w:p w:rsidR="00491ECD" w:rsidRDefault="00491ECD" w:rsidP="00491ECD">
      <w:pPr>
        <w:numPr>
          <w:ilvl w:val="0"/>
          <w:numId w:val="4"/>
        </w:numPr>
        <w:rPr>
          <w:rFonts w:cs="Arial"/>
        </w:rPr>
      </w:pPr>
      <w:r w:rsidRPr="009C6778">
        <w:rPr>
          <w:rFonts w:cs="Arial"/>
        </w:rPr>
        <w:t xml:space="preserve">zmiany demograficzne, które sprawiają, że osób młodych jest coraz mniej, przy jednoczesnym wzroście osób w wieku poprodukcyjnym. Tym samym przekształceniu ulegnie struktura rynku pracy i w efekcie rządzące nim mechanizmy, które osoby młode będą musiały rozpoznać i skutecznie się do nich dostosować. </w:t>
      </w:r>
    </w:p>
    <w:p w:rsidR="00491ECD" w:rsidRDefault="00491ECD" w:rsidP="00491ECD">
      <w:pPr>
        <w:numPr>
          <w:ilvl w:val="0"/>
          <w:numId w:val="4"/>
        </w:numPr>
        <w:rPr>
          <w:rFonts w:cs="Arial"/>
        </w:rPr>
      </w:pPr>
      <w:r w:rsidRPr="00C9250E">
        <w:rPr>
          <w:rFonts w:cs="Arial"/>
        </w:rPr>
        <w:t>decyzje edukacyjne jakie podejmują młode osoby. Co piąty uczeń szkół ponadgimnazjalnych nie potrafił określić,</w:t>
      </w:r>
      <w:r>
        <w:rPr>
          <w:rFonts w:cs="Arial"/>
        </w:rPr>
        <w:t xml:space="preserve"> jaki zawód chciałby wykonywać. </w:t>
      </w:r>
      <w:r w:rsidRPr="00C9250E">
        <w:rPr>
          <w:rFonts w:cs="Arial"/>
        </w:rPr>
        <w:t xml:space="preserve">Według danych SIO w 2013 r. większość absolwentów szkół ponadgimnazjalnych stanowiły osoby które ukończyły licea ogólnokształcące. Równocześnie analizując dane dotyczące osób studiujących oraz absolwentów studiów wyższych można zauważyć, że nie zawsze odpowiadają one potrzebom rynku pracy. Istnieją zatem </w:t>
      </w:r>
      <w:r w:rsidRPr="00C9250E">
        <w:rPr>
          <w:rFonts w:cs="Arial"/>
        </w:rPr>
        <w:lastRenderedPageBreak/>
        <w:t>przesłanki do konieczności zintensyfikowania działań</w:t>
      </w:r>
      <w:r>
        <w:rPr>
          <w:rFonts w:cs="Arial"/>
        </w:rPr>
        <w:t xml:space="preserve"> z zakresu doradztwa zawodowego, a także </w:t>
      </w:r>
      <w:r w:rsidRPr="00C9250E">
        <w:rPr>
          <w:rFonts w:cs="Arial"/>
        </w:rPr>
        <w:t>uświadamiania młodym osobom jakie są potrzeby rynku pracy, jakie są</w:t>
      </w:r>
      <w:r>
        <w:rPr>
          <w:rFonts w:cs="Arial"/>
        </w:rPr>
        <w:t xml:space="preserve"> p</w:t>
      </w:r>
      <w:r w:rsidRPr="00C9250E">
        <w:rPr>
          <w:rFonts w:cs="Arial"/>
        </w:rPr>
        <w:t>rognozy w tym zakresie oraz znaczenia konieczności nieustannego podnoszenia własnych kwalifikacji. Przedstawione wyniki pochodzące z badania B</w:t>
      </w:r>
      <w:r>
        <w:rPr>
          <w:rFonts w:cs="Arial"/>
        </w:rPr>
        <w:t xml:space="preserve">ilans </w:t>
      </w:r>
      <w:r w:rsidRPr="00C9250E">
        <w:rPr>
          <w:rFonts w:cs="Arial"/>
        </w:rPr>
        <w:t>K</w:t>
      </w:r>
      <w:r>
        <w:rPr>
          <w:rFonts w:cs="Arial"/>
        </w:rPr>
        <w:t xml:space="preserve">apitału </w:t>
      </w:r>
      <w:r w:rsidRPr="00C9250E">
        <w:rPr>
          <w:rFonts w:cs="Arial"/>
        </w:rPr>
        <w:t>L</w:t>
      </w:r>
      <w:r>
        <w:rPr>
          <w:rFonts w:cs="Arial"/>
        </w:rPr>
        <w:t>udzkiego</w:t>
      </w:r>
      <w:r w:rsidRPr="00C9250E">
        <w:rPr>
          <w:rFonts w:cs="Arial"/>
        </w:rPr>
        <w:t xml:space="preserve"> pokazują, że </w:t>
      </w:r>
      <w:r>
        <w:rPr>
          <w:rFonts w:cs="Arial"/>
        </w:rPr>
        <w:t xml:space="preserve">duża część </w:t>
      </w:r>
      <w:r w:rsidRPr="00C9250E">
        <w:rPr>
          <w:rFonts w:cs="Arial"/>
        </w:rPr>
        <w:t>os</w:t>
      </w:r>
      <w:r>
        <w:rPr>
          <w:rFonts w:cs="Arial"/>
        </w:rPr>
        <w:t>ó</w:t>
      </w:r>
      <w:r w:rsidRPr="00C9250E">
        <w:rPr>
          <w:rFonts w:cs="Arial"/>
        </w:rPr>
        <w:t>b młod</w:t>
      </w:r>
      <w:r>
        <w:rPr>
          <w:rFonts w:cs="Arial"/>
        </w:rPr>
        <w:t>ych</w:t>
      </w:r>
      <w:r w:rsidRPr="00C9250E">
        <w:rPr>
          <w:rFonts w:cs="Arial"/>
        </w:rPr>
        <w:t xml:space="preserve"> </w:t>
      </w:r>
      <w:r>
        <w:rPr>
          <w:rFonts w:cs="Arial"/>
        </w:rPr>
        <w:t xml:space="preserve">nie </w:t>
      </w:r>
      <w:r w:rsidRPr="00C9250E">
        <w:rPr>
          <w:rFonts w:cs="Arial"/>
        </w:rPr>
        <w:t>zakłada możliwości przekwalifikowania. Zasadne wydaje się więc zarówno podnoszenie świadomości młodych w tym zakresie, jak i adekwatna do potrzeb młodych osób oferta kursów zawodowych/studiów podyplomowych dostępnych na rynku.</w:t>
      </w:r>
    </w:p>
    <w:p w:rsidR="00491ECD" w:rsidRDefault="00491ECD" w:rsidP="00491ECD">
      <w:pPr>
        <w:numPr>
          <w:ilvl w:val="0"/>
          <w:numId w:val="4"/>
        </w:numPr>
        <w:rPr>
          <w:rFonts w:cs="Arial"/>
        </w:rPr>
      </w:pPr>
      <w:r w:rsidRPr="00C9250E">
        <w:rPr>
          <w:rFonts w:cs="Arial"/>
        </w:rPr>
        <w:t>zmiany mentalne zachodzące w społeczeństwie wynikające</w:t>
      </w:r>
      <w:r w:rsidR="00757ACF">
        <w:rPr>
          <w:rFonts w:cs="Arial"/>
        </w:rPr>
        <w:t xml:space="preserve"> m. in. </w:t>
      </w:r>
      <w:r w:rsidRPr="00C9250E">
        <w:rPr>
          <w:rFonts w:cs="Arial"/>
        </w:rPr>
        <w:t xml:space="preserve">ze zmian technologicznych, wpływających na młode osoby z uwagi na powszechne wykorzystywanie przez tę grupę Internetu, komputera oraz innych urządzeń </w:t>
      </w:r>
      <w:r>
        <w:rPr>
          <w:rFonts w:cs="Arial"/>
        </w:rPr>
        <w:br/>
      </w:r>
      <w:r w:rsidRPr="00C9250E">
        <w:rPr>
          <w:rFonts w:cs="Arial"/>
        </w:rPr>
        <w:t>i aplikacji powszechnie używanych w celach m.in. komunikacyjnych. Ma to</w:t>
      </w:r>
      <w:r w:rsidRPr="00491ECD">
        <w:rPr>
          <w:rFonts w:cs="Arial"/>
        </w:rPr>
        <w:t xml:space="preserve"> </w:t>
      </w:r>
      <w:r w:rsidRPr="00C9250E">
        <w:rPr>
          <w:rFonts w:cs="Arial"/>
        </w:rPr>
        <w:t xml:space="preserve">swoje pozytywne konsekwencje ponieważ podnosi kwalifikacje osób młodych w zakresie </w:t>
      </w:r>
      <w:r>
        <w:rPr>
          <w:rFonts w:cs="Arial"/>
        </w:rPr>
        <w:t xml:space="preserve">obsługi nowoczesnej technologii, co jest atutem podczas poszukiwania pracy, </w:t>
      </w:r>
      <w:r w:rsidR="00757ACF">
        <w:rPr>
          <w:rFonts w:cs="Arial"/>
        </w:rPr>
        <w:br/>
      </w:r>
      <w:r>
        <w:rPr>
          <w:rFonts w:cs="Arial"/>
        </w:rPr>
        <w:t xml:space="preserve">z drugiej jednak strony może wpływać na zmiany mentalne np. ograniczenie kompetencji społecznych takich jak: komunikatywność czy praca zespołowa, co </w:t>
      </w:r>
      <w:r w:rsidR="00757ACF">
        <w:rPr>
          <w:rFonts w:cs="Arial"/>
        </w:rPr>
        <w:br/>
      </w:r>
      <w:r>
        <w:rPr>
          <w:rFonts w:cs="Arial"/>
        </w:rPr>
        <w:t>z kolei może obniżać ich atrakcyjność jako przyszłych pracowników.</w:t>
      </w:r>
    </w:p>
    <w:p w:rsidR="00491ECD" w:rsidRPr="00C9250E" w:rsidRDefault="00491ECD" w:rsidP="00491ECD">
      <w:pPr>
        <w:numPr>
          <w:ilvl w:val="0"/>
          <w:numId w:val="4"/>
        </w:numPr>
        <w:rPr>
          <w:rFonts w:cs="Arial"/>
        </w:rPr>
      </w:pPr>
      <w:r>
        <w:rPr>
          <w:rFonts w:cs="Arial"/>
        </w:rPr>
        <w:t xml:space="preserve">Dynamika współczesnego rynku pracy, pociągająca za sobą konieczność ciągłego doszkalania się. Postęp technologiczny, rozwój zielonej gospodarki oraz inne procesy mające aktualnie miejsce wpływają na kierunek rozwoju ekonomicznego, </w:t>
      </w:r>
      <w:r w:rsidR="00757ACF">
        <w:rPr>
          <w:rFonts w:cs="Arial"/>
        </w:rPr>
        <w:br/>
      </w:r>
      <w:r>
        <w:rPr>
          <w:rFonts w:cs="Arial"/>
        </w:rPr>
        <w:t>a w efekcie na kształt rynku pracy. Stawiają one kolejne wyzwania i rodzą potrzeby kadrowe zarówno na zawody, jak i na określone umiejętności. Zmiany te prowadzą również do spadku zapotrzebowania na inne profesje. Wobec tego istnieje konieczność stałego monitorowania zmian oraz podejmowania działań mających na celu dostosowanie własnych kwalifikacji do potrzeb rynku pracy.</w:t>
      </w:r>
    </w:p>
    <w:p w:rsidR="00491ECD" w:rsidRDefault="00491ECD" w:rsidP="00491ECD">
      <w:pPr>
        <w:ind w:firstLine="708"/>
        <w:rPr>
          <w:rFonts w:cs="Arial"/>
        </w:rPr>
      </w:pPr>
    </w:p>
    <w:p w:rsidR="00491ECD" w:rsidRDefault="00491ECD" w:rsidP="00491ECD">
      <w:pPr>
        <w:rPr>
          <w:rFonts w:cs="Arial"/>
          <w:b/>
        </w:rPr>
      </w:pPr>
      <w:r>
        <w:rPr>
          <w:rFonts w:cs="Arial"/>
          <w:b/>
        </w:rPr>
        <w:t>BEZROBOCIE OSÓB MŁODYCH W WIELKOPOLSCE</w:t>
      </w:r>
    </w:p>
    <w:p w:rsidR="00491ECD" w:rsidRPr="00944B25" w:rsidRDefault="00491ECD" w:rsidP="00491ECD">
      <w:pPr>
        <w:rPr>
          <w:rFonts w:cs="Arial"/>
          <w:b/>
        </w:rPr>
      </w:pPr>
    </w:p>
    <w:p w:rsidR="00491ECD" w:rsidRPr="009C6778" w:rsidRDefault="00491ECD" w:rsidP="00491ECD">
      <w:pPr>
        <w:ind w:firstLine="708"/>
        <w:rPr>
          <w:rFonts w:cs="Arial"/>
        </w:rPr>
      </w:pPr>
      <w:r>
        <w:rPr>
          <w:rFonts w:cs="Arial"/>
        </w:rPr>
        <w:t>O</w:t>
      </w:r>
      <w:r w:rsidRPr="009C6778">
        <w:rPr>
          <w:rFonts w:cs="Arial"/>
        </w:rPr>
        <w:t>braz bezrobocia młodych</w:t>
      </w:r>
      <w:r>
        <w:rPr>
          <w:rFonts w:cs="Arial"/>
        </w:rPr>
        <w:t xml:space="preserve"> Wielkopolan</w:t>
      </w:r>
      <w:r w:rsidRPr="009C6778">
        <w:rPr>
          <w:rFonts w:cs="Arial"/>
        </w:rPr>
        <w:t xml:space="preserve"> inaczej przedstawia się w badaniu BAEL a inaczej w odniesieniu do bezrobocia rejestrowanego</w:t>
      </w:r>
      <w:r>
        <w:rPr>
          <w:rFonts w:cs="Arial"/>
        </w:rPr>
        <w:t xml:space="preserve">. Z informacji pochodzących z BAEL wynika, że w 2013 r. Wielkopolska posiadała jeden </w:t>
      </w:r>
      <w:r w:rsidR="00757ACF">
        <w:rPr>
          <w:rFonts w:cs="Arial"/>
        </w:rPr>
        <w:br/>
      </w:r>
      <w:r>
        <w:rPr>
          <w:rFonts w:cs="Arial"/>
        </w:rPr>
        <w:t xml:space="preserve">z najwyższych wskaźników zatrudnienia osób młodych oraz stosunkowo niskie wskaźniki bezrobocia i bierności zawodowej. Natomiast z danych dotyczących osób zarejestrowanych w powiatowych urzędach pracy wynika, że w tym samym okresie zanotowano stosunkowo wysoki udział osób młodych w ogóle </w:t>
      </w:r>
      <w:r>
        <w:rPr>
          <w:rFonts w:cs="Arial"/>
        </w:rPr>
        <w:lastRenderedPageBreak/>
        <w:t xml:space="preserve">zarejestrowanych. </w:t>
      </w:r>
      <w:r w:rsidRPr="009C6778">
        <w:rPr>
          <w:rFonts w:cs="Arial"/>
        </w:rPr>
        <w:t xml:space="preserve">Przyczyn </w:t>
      </w:r>
      <w:r>
        <w:rPr>
          <w:rFonts w:cs="Arial"/>
        </w:rPr>
        <w:t xml:space="preserve">takich rozbieżności </w:t>
      </w:r>
      <w:r w:rsidRPr="009C6778">
        <w:rPr>
          <w:rFonts w:cs="Arial"/>
        </w:rPr>
        <w:t xml:space="preserve">może być kilka. Należy pamiętać, że w obu wskaźnikach występują różne definicje osoby bezrobotnej. Jedną </w:t>
      </w:r>
      <w:r w:rsidR="00757ACF">
        <w:rPr>
          <w:rFonts w:cs="Arial"/>
        </w:rPr>
        <w:br/>
      </w:r>
      <w:r w:rsidRPr="009C6778">
        <w:rPr>
          <w:rFonts w:cs="Arial"/>
        </w:rPr>
        <w:t>z różnic jest to, że bezrobocie rejestrowane jest mierzone wyłącznie na podstawie liczby osób rejestrujących się w powiatowych urzędach pracy, jako osoby bezrobotne. Aby zostać uznanym za osobę bezrobotną w badaniu BAEL nie ma takiej konieczności.</w:t>
      </w:r>
      <w:r w:rsidRPr="00491ECD">
        <w:rPr>
          <w:rFonts w:cs="Arial"/>
        </w:rPr>
        <w:t xml:space="preserve"> </w:t>
      </w:r>
      <w:r w:rsidRPr="009C6778">
        <w:rPr>
          <w:rFonts w:cs="Arial"/>
        </w:rPr>
        <w:t xml:space="preserve">Należy również podkreślić, że poziom bezrobocia rejestrowanego zależy nie tylko od liczby osób bezrobotnych ale także od motywacji zarejestrowania się w powiatowym urzędzie pracy. Na różnicę między bezrobociem rejestrowanym a tym stwierdzonym na podstawie BAEL, wpływa też fakt, że część osób zarejestrowanych w powiatowych urzędach pracy nie jest </w:t>
      </w:r>
      <w:r w:rsidR="00757ACF">
        <w:rPr>
          <w:rFonts w:cs="Arial"/>
        </w:rPr>
        <w:br/>
      </w:r>
      <w:r w:rsidRPr="009C6778">
        <w:rPr>
          <w:rFonts w:cs="Arial"/>
        </w:rPr>
        <w:t>w rzeczywistości zainteresowana podj</w:t>
      </w:r>
      <w:r>
        <w:rPr>
          <w:rFonts w:cs="Arial"/>
        </w:rPr>
        <w:t>ęciem zatrudnienia a przyczyną</w:t>
      </w:r>
      <w:r w:rsidRPr="009C6778">
        <w:rPr>
          <w:rFonts w:cs="Arial"/>
        </w:rPr>
        <w:t xml:space="preserve"> bycia </w:t>
      </w:r>
      <w:r w:rsidR="00757ACF">
        <w:rPr>
          <w:rFonts w:cs="Arial"/>
        </w:rPr>
        <w:br/>
      </w:r>
      <w:r w:rsidRPr="009C6778">
        <w:rPr>
          <w:rFonts w:cs="Arial"/>
        </w:rPr>
        <w:t>w rejestrze osób bezrobotnych jest możliwość uzyskania na tej podstawie ubezpieczenia zdrowotnego bądź zasiłku dla bezrobotnych. Kolejnym powodem różnic między bezrobociem rejestrowanym a wynikami BAEL może być fakt, że osoby zarejestrowane w powiatowych urzędach pracy niejednokrotnie są jednocześnie zatrudnione w „szarej strefie” co zniekształca skalę bezrobocia.</w:t>
      </w:r>
    </w:p>
    <w:p w:rsidR="00491ECD" w:rsidRPr="009C6778" w:rsidRDefault="00491ECD" w:rsidP="00491ECD">
      <w:pPr>
        <w:ind w:firstLine="708"/>
        <w:rPr>
          <w:rFonts w:cs="Arial"/>
        </w:rPr>
      </w:pPr>
      <w:r w:rsidRPr="009C6778">
        <w:rPr>
          <w:rFonts w:cs="Arial"/>
        </w:rPr>
        <w:t xml:space="preserve">Analizując dane uzyskane na podstawie badania realizowanego </w:t>
      </w:r>
      <w:r w:rsidR="00757ACF">
        <w:rPr>
          <w:rFonts w:cs="Arial"/>
        </w:rPr>
        <w:br/>
      </w:r>
      <w:r w:rsidRPr="009C6778">
        <w:rPr>
          <w:rFonts w:cs="Arial"/>
        </w:rPr>
        <w:t xml:space="preserve">w powiatowych urzędach pracy można zauważyć, że wśród młodych bezrobotnych dominującą motywacją do zarejestrowania się jako osoba bezrobotna jest chęć uzyskania ubezpieczenia zdrowotnego, co uniemożliwia określenie poziomu faktycznej motywacji do korzystania z usług powiatowych urzędów pracy. Równocześnie, jak podkreślono wcześniej wraz z wiekiem wyraźnie wzrasta liczba osób, które rezygnują z korzystania z pomocy instytucjonalnej i szukają pracy samodzielnie. </w:t>
      </w:r>
      <w:r>
        <w:rPr>
          <w:rFonts w:cs="Arial"/>
        </w:rPr>
        <w:t>Może to świadczyć</w:t>
      </w:r>
      <w:r w:rsidRPr="009C6778">
        <w:rPr>
          <w:rFonts w:cs="Arial"/>
        </w:rPr>
        <w:t>, że powiatowe urzędy pracy nie spełniają</w:t>
      </w:r>
      <w:r>
        <w:rPr>
          <w:rFonts w:cs="Arial"/>
        </w:rPr>
        <w:t xml:space="preserve"> do końca</w:t>
      </w:r>
      <w:r w:rsidRPr="009C6778">
        <w:rPr>
          <w:rFonts w:cs="Arial"/>
        </w:rPr>
        <w:t xml:space="preserve"> oczekiwań młodych bezrobotnych. Jednocześnie widoczne jest zainteresowanie instrumentami rynku pracy, z jakich mogą korzystać b</w:t>
      </w:r>
      <w:r>
        <w:rPr>
          <w:rFonts w:cs="Arial"/>
        </w:rPr>
        <w:t xml:space="preserve">ezrobotni zarejestrowani w PUP, takimi jak staż czy szkolenia. Aby maksymalnie wykorzystać motywacje młodych osób do korzystania </w:t>
      </w:r>
      <w:r w:rsidR="00757ACF">
        <w:rPr>
          <w:rFonts w:cs="Arial"/>
        </w:rPr>
        <w:br/>
      </w:r>
      <w:r>
        <w:rPr>
          <w:rFonts w:cs="Arial"/>
        </w:rPr>
        <w:t xml:space="preserve">z instrumentów powinny być one dostosowane do ich predyspozycji, tak aby maksymalnie zwiększyć szanse na znalezienie zatrudnienia i zwiększenie atrakcyjności młodych bezrobotnych dla potencjalnych pracodawców. </w:t>
      </w:r>
    </w:p>
    <w:p w:rsidR="002E4C07" w:rsidRDefault="002E4C07" w:rsidP="00491ECD">
      <w:pPr>
        <w:tabs>
          <w:tab w:val="left" w:pos="709"/>
        </w:tabs>
        <w:spacing w:before="120" w:after="120"/>
        <w:ind w:left="0" w:firstLine="0"/>
      </w:pPr>
    </w:p>
    <w:sectPr w:rsidR="002E4C07" w:rsidSect="00184144">
      <w:headerReference w:type="even" r:id="rId23"/>
      <w:headerReference w:type="default" r:id="rId24"/>
      <w:headerReference w:type="first" r:id="rId2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32F" w:rsidRDefault="0093132F" w:rsidP="00C027D8">
      <w:pPr>
        <w:spacing w:line="240" w:lineRule="auto"/>
      </w:pPr>
      <w:r>
        <w:separator/>
      </w:r>
    </w:p>
  </w:endnote>
  <w:endnote w:type="continuationSeparator" w:id="0">
    <w:p w:rsidR="0093132F" w:rsidRDefault="0093132F" w:rsidP="00C027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32F" w:rsidRDefault="0093132F" w:rsidP="00C027D8">
      <w:pPr>
        <w:spacing w:line="240" w:lineRule="auto"/>
      </w:pPr>
      <w:r>
        <w:separator/>
      </w:r>
    </w:p>
  </w:footnote>
  <w:footnote w:type="continuationSeparator" w:id="0">
    <w:p w:rsidR="0093132F" w:rsidRDefault="0093132F" w:rsidP="00C027D8">
      <w:pPr>
        <w:spacing w:line="240" w:lineRule="auto"/>
      </w:pPr>
      <w:r>
        <w:continuationSeparator/>
      </w:r>
    </w:p>
  </w:footnote>
  <w:footnote w:id="1">
    <w:p w:rsidR="00491ECD" w:rsidRPr="00AA305D" w:rsidRDefault="00491ECD" w:rsidP="00491ECD">
      <w:pPr>
        <w:pStyle w:val="NormalnyWeb"/>
        <w:jc w:val="both"/>
        <w:rPr>
          <w:rFonts w:ascii="Arial" w:hAnsi="Arial" w:cs="Arial"/>
          <w:sz w:val="18"/>
          <w:szCs w:val="18"/>
        </w:rPr>
      </w:pPr>
      <w:r w:rsidRPr="00E63050">
        <w:rPr>
          <w:rStyle w:val="Odwoanieprzypisudolnego"/>
          <w:rFonts w:ascii="Arial" w:hAnsi="Arial" w:cs="Arial"/>
        </w:rPr>
        <w:footnoteRef/>
      </w:r>
      <w:r w:rsidRPr="00E63050">
        <w:rPr>
          <w:rFonts w:ascii="Arial" w:hAnsi="Arial" w:cs="Arial"/>
          <w:sz w:val="18"/>
          <w:szCs w:val="18"/>
        </w:rPr>
        <w:t xml:space="preserve">Badanie prowadzone co kwartał </w:t>
      </w:r>
      <w:r w:rsidRPr="00AA305D">
        <w:rPr>
          <w:rFonts w:ascii="Arial" w:hAnsi="Arial" w:cs="Arial"/>
          <w:sz w:val="18"/>
          <w:szCs w:val="18"/>
        </w:rPr>
        <w:t xml:space="preserve">przez </w:t>
      </w:r>
      <w:hyperlink r:id="rId1" w:tooltip="Główny Urząd Statystyczny" w:history="1">
        <w:r w:rsidRPr="00AA305D">
          <w:rPr>
            <w:rStyle w:val="Hipercze"/>
            <w:rFonts w:ascii="Arial" w:hAnsi="Arial" w:cs="Arial"/>
            <w:sz w:val="18"/>
            <w:szCs w:val="18"/>
          </w:rPr>
          <w:t>Główny Urząd Statystyczny</w:t>
        </w:r>
      </w:hyperlink>
      <w:r w:rsidRPr="00AA305D">
        <w:rPr>
          <w:rFonts w:ascii="Arial" w:hAnsi="Arial" w:cs="Arial"/>
          <w:sz w:val="18"/>
          <w:szCs w:val="18"/>
        </w:rPr>
        <w:t xml:space="preserve">. Badanie polega na poddaniu badaniu ankietowemu ogólnopolskiej próby </w:t>
      </w:r>
      <w:hyperlink r:id="rId2" w:tooltip="Gospodarstwo domowe" w:history="1">
        <w:r w:rsidRPr="00AA305D">
          <w:rPr>
            <w:rStyle w:val="Hipercze"/>
            <w:rFonts w:ascii="Arial" w:hAnsi="Arial" w:cs="Arial"/>
            <w:sz w:val="18"/>
            <w:szCs w:val="18"/>
          </w:rPr>
          <w:t>gospodarstw domowych</w:t>
        </w:r>
      </w:hyperlink>
      <w:r w:rsidRPr="00AA305D">
        <w:rPr>
          <w:rFonts w:ascii="Arial" w:hAnsi="Arial" w:cs="Arial"/>
          <w:sz w:val="18"/>
          <w:szCs w:val="18"/>
        </w:rPr>
        <w:t xml:space="preserve">. Badanie jest realizowane na reprezentatywnej próbie osób w wieku 15 i więcej lat. </w:t>
      </w:r>
    </w:p>
    <w:p w:rsidR="00491ECD" w:rsidRDefault="00491ECD" w:rsidP="00491ECD">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9C6" w:rsidRDefault="00202BA5" w:rsidP="00A93D63">
    <w:pPr>
      <w:pStyle w:val="Nagwek"/>
      <w:ind w:left="0" w:firstLine="0"/>
    </w:pPr>
    <w:r>
      <w:rPr>
        <w:noProof/>
        <w:lang w:eastAsia="pl-PL"/>
      </w:rPr>
      <w:pict>
        <v:shapetype id="_x0000_t202" coordsize="21600,21600" o:spt="202" path="m,l,21600r21600,l21600,xe">
          <v:stroke joinstyle="miter"/>
          <v:path gradientshapeok="t" o:connecttype="rect"/>
        </v:shapetype>
        <v:shape id="Text Box 6" o:spid="_x0000_s4102" type="#_x0000_t202" style="position:absolute;left:0;text-align:left;margin-left:0;margin-top:0;width:481.9pt;height:11.5pt;z-index:2516643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" o:allowincell="f" filled="f" stroked="f">
          <v:textbox style="mso-fit-shape-to-text:t" inset=",0,,0">
            <w:txbxContent>
              <w:sdt>
                <w:sdtPr>
                  <w:rPr>
                    <w:sz w:val="20"/>
                    <w:szCs w:val="20"/>
                  </w:rPr>
                  <w:alias w:val="Tytuł"/>
                  <w:id w:val="3827245"/>
                  <w:dataBinding w:prefixMappings="xmlns:ns0='http://schemas.openxmlformats.org/package/2006/metadata/core-properties' xmlns:ns1='http://purl.org/dc/elements/1.1/'" w:xpath="/ns0:coreProperties[1]/ns1:title[1]" w:storeItemID="{6C3C8BC8-F283-45AE-878A-BAB7291924A1}"/>
                  <w:text/>
                </w:sdtPr>
                <w:sdtContent>
                  <w:p w:rsidR="007249C6" w:rsidRPr="00A93D63" w:rsidRDefault="00854E60">
                    <w:pPr>
                      <w:spacing w:line="240" w:lineRule="auto"/>
                      <w:rPr>
                        <w:sz w:val="20"/>
                        <w:szCs w:val="20"/>
                      </w:rPr>
                    </w:pPr>
                    <w:r>
                      <w:rPr>
                        <w:sz w:val="20"/>
                        <w:szCs w:val="20"/>
                      </w:rPr>
                      <w:t>Sytuacja osób młodych na wielkopolskim rynku pracy w województwie wielkopolskim</w:t>
                    </w:r>
                  </w:p>
                </w:sdtContent>
              </w:sdt>
            </w:txbxContent>
          </v:textbox>
          <w10:wrap anchorx="margin" anchory="margin"/>
        </v:shape>
      </w:pict>
    </w:r>
    <w:r>
      <w:rPr>
        <w:noProof/>
        <w:lang w:eastAsia="pl-PL"/>
      </w:rPr>
      <w:pict>
        <v:shape id="Text Box 5" o:spid="_x0000_s4101" type="#_x0000_t202" style="position:absolute;left:0;text-align:left;margin-left:0;margin-top:0;width:56.7pt;height:13.8pt;z-index:2516633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" o:allowincell="f" fillcolor="#4f81bd [3204]" stroked="f">
          <v:textbox style="mso-fit-shape-to-text:t" inset=",0,,0">
            <w:txbxContent>
              <w:p w:rsidR="007249C6" w:rsidRDefault="00202BA5">
                <w:pPr>
                  <w:spacing w:line="240" w:lineRule="auto"/>
                  <w:jc w:val="right"/>
                  <w:rPr>
                    <w:color w:val="FFFFFF" w:themeColor="background1"/>
                  </w:rPr>
                </w:pPr>
                <w:r w:rsidRPr="00202BA5">
                  <w:fldChar w:fldCharType="begin"/>
                </w:r>
                <w:r w:rsidR="0093132F">
                  <w:instrText xml:space="preserve"> PAGE   \* MERGEFORMAT </w:instrText>
                </w:r>
                <w:r w:rsidRPr="00202BA5">
                  <w:fldChar w:fldCharType="separate"/>
                </w:r>
                <w:r w:rsidR="00BA361D" w:rsidRPr="00BA361D">
                  <w:rPr>
                    <w:noProof/>
                    <w:color w:val="FFFFFF" w:themeColor="background1"/>
                  </w:rPr>
                  <w:t>18</w:t>
                </w:r>
                <w:r>
                  <w:rPr>
                    <w:noProof/>
                    <w:color w:val="FFFFFF" w:themeColor="background1"/>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9C6" w:rsidRDefault="00202BA5">
    <w:pPr>
      <w:pStyle w:val="Nagwek"/>
    </w:pPr>
    <w:r>
      <w:rPr>
        <w:noProof/>
        <w:lang w:eastAsia="pl-PL"/>
      </w:rPr>
      <w:pict>
        <v:shapetype id="_x0000_t202" coordsize="21600,21600" o:spt="202" path="m,l,21600r21600,l21600,xe">
          <v:stroke joinstyle="miter"/>
          <v:path gradientshapeok="t" o:connecttype="rect"/>
        </v:shapetype>
        <v:shape id="Text Box 8" o:spid="_x0000_s4100" type="#_x0000_t202" style="position:absolute;left:0;text-align:left;margin-left:0;margin-top:0;width:481.9pt;height:17.25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kStAIAALo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" o:allowincell="f" filled="f" stroked="f">
          <v:textbox style="mso-fit-shape-to-text:t" inset=",0,,0">
            <w:txbxContent>
              <w:sdt>
                <w:sdtPr>
                  <w:rPr>
                    <w:sz w:val="20"/>
                    <w:szCs w:val="20"/>
                  </w:rPr>
                  <w:alias w:val="Tytuł"/>
                  <w:id w:val="3827246"/>
                  <w:dataBinding w:prefixMappings="xmlns:ns0='http://schemas.openxmlformats.org/package/2006/metadata/core-properties' xmlns:ns1='http://purl.org/dc/elements/1.1/'" w:xpath="/ns0:coreProperties[1]/ns1:title[1]" w:storeItemID="{6C3C8BC8-F283-45AE-878A-BAB7291924A1}"/>
                  <w:text/>
                </w:sdtPr>
                <w:sdtContent>
                  <w:p w:rsidR="007249C6" w:rsidRPr="00A93D63" w:rsidRDefault="00491ECD" w:rsidP="00FE7DA4">
                    <w:pPr>
                      <w:jc w:val="right"/>
                    </w:pPr>
                    <w:r>
                      <w:rPr>
                        <w:sz w:val="20"/>
                        <w:szCs w:val="20"/>
                      </w:rPr>
                      <w:t>Sytuacja osób młodych na wielkopolskim rynku pracy</w:t>
                    </w:r>
                    <w:r w:rsidR="00AB4CA9">
                      <w:rPr>
                        <w:sz w:val="20"/>
                        <w:szCs w:val="20"/>
                      </w:rPr>
                      <w:t xml:space="preserve"> </w:t>
                    </w:r>
                    <w:r w:rsidR="00854E60">
                      <w:rPr>
                        <w:sz w:val="20"/>
                        <w:szCs w:val="20"/>
                      </w:rPr>
                      <w:t xml:space="preserve">w </w:t>
                    </w:r>
                    <w:r w:rsidR="00AB4CA9">
                      <w:rPr>
                        <w:sz w:val="20"/>
                        <w:szCs w:val="20"/>
                      </w:rPr>
                      <w:t>województwie wielkopolskim</w:t>
                    </w:r>
                  </w:p>
                </w:sdtContent>
              </w:sdt>
            </w:txbxContent>
          </v:textbox>
          <w10:wrap anchorx="margin" anchory="margin"/>
        </v:shape>
      </w:pict>
    </w:r>
    <w:r>
      <w:rPr>
        <w:noProof/>
        <w:lang w:eastAsia="pl-PL"/>
      </w:rPr>
      <w:pict>
        <v:shape id="Text Box 7" o:spid="_x0000_s4099" type="#_x0000_t202" style="position:absolute;left:0;text-align:left;margin-left:21.7pt;margin-top:0;width:56.45pt;height:13.8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" o:allowincell="f" fillcolor="#4f81bd [3204]" stroked="f">
          <v:textbox style="mso-fit-shape-to-text:t" inset=",0,,0">
            <w:txbxContent>
              <w:p w:rsidR="007249C6" w:rsidRDefault="00202BA5">
                <w:pPr>
                  <w:spacing w:line="240" w:lineRule="auto"/>
                  <w:rPr>
                    <w:color w:val="FFFFFF" w:themeColor="background1"/>
                  </w:rPr>
                </w:pPr>
                <w:r w:rsidRPr="00202BA5">
                  <w:fldChar w:fldCharType="begin"/>
                </w:r>
                <w:r w:rsidR="0093132F">
                  <w:instrText xml:space="preserve"> PAGE   \* MERGEFORMAT </w:instrText>
                </w:r>
                <w:r w:rsidRPr="00202BA5">
                  <w:fldChar w:fldCharType="separate"/>
                </w:r>
                <w:r w:rsidR="00BA361D" w:rsidRPr="00BA361D">
                  <w:rPr>
                    <w:noProof/>
                    <w:color w:val="FFFFFF" w:themeColor="background1"/>
                  </w:rPr>
                  <w:t>19</w:t>
                </w:r>
                <w:r>
                  <w:rPr>
                    <w:noProof/>
                    <w:color w:val="FFFFFF" w:themeColor="background1"/>
                  </w:rPr>
                  <w:fldChar w:fldCharType="end"/>
                </w: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9C6" w:rsidRDefault="00202BA5">
    <w:pPr>
      <w:pStyle w:val="Nagwek"/>
    </w:pPr>
    <w:r>
      <w:rPr>
        <w:noProof/>
        <w:lang w:eastAsia="pl-PL"/>
      </w:rPr>
      <w:pict>
        <v:shapetype id="_x0000_t202" coordsize="21600,21600" o:spt="202" path="m,l,21600r21600,l21600,xe">
          <v:stroke joinstyle="miter"/>
          <v:path gradientshapeok="t" o:connecttype="rect"/>
        </v:shapetype>
        <v:shape id="Text Box 2" o:spid="_x0000_s4098" type="#_x0000_t202" style="position:absolute;left:0;text-align:left;margin-left:0;margin-top:0;width:468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IatAIAALo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" o:allowincell="f" filled="f" stroked="f">
          <v:textbox style="mso-fit-shape-to-text:t" inset=",0,,0">
            <w:txbxContent>
              <w:p w:rsidR="007249C6" w:rsidRDefault="00202BA5">
                <w:pPr>
                  <w:spacing w:line="240" w:lineRule="auto"/>
                  <w:jc w:val="right"/>
                </w:pPr>
                <w:r>
                  <w:fldChar w:fldCharType="begin"/>
                </w:r>
                <w:r w:rsidR="007249C6">
                  <w:instrText xml:space="preserve"> STYLEREF  "1" </w:instrText>
                </w:r>
                <w:r>
                  <w:fldChar w:fldCharType="separate"/>
                </w:r>
                <w:r w:rsidR="007249C6">
                  <w:rPr>
                    <w:b/>
                    <w:bCs/>
                    <w:noProof/>
                  </w:rPr>
                  <w:t>Błąd! W dokumencie nie ma tekstu o podanym stylu.</w:t>
                </w:r>
                <w:r>
                  <w:fldChar w:fldCharType="end"/>
                </w:r>
              </w:p>
            </w:txbxContent>
          </v:textbox>
          <w10:wrap anchorx="margin" anchory="margin"/>
        </v:shape>
      </w:pict>
    </w:r>
    <w:r>
      <w:rPr>
        <w:noProof/>
        <w:lang w:eastAsia="pl-PL"/>
      </w:rPr>
      <w:pict>
        <v:shape id="Text Box 1" o:spid="_x0000_s4097" type="#_x0000_t202" style="position:absolute;left:0;text-align:left;margin-left:52.8pt;margin-top:0;width:1in;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" o:allowincell="f" fillcolor="#4f81bd [3204]" stroked="f">
          <v:textbox style="mso-fit-shape-to-text:t" inset=",0,,0">
            <w:txbxContent>
              <w:p w:rsidR="007249C6" w:rsidRDefault="00202BA5">
                <w:pPr>
                  <w:spacing w:line="240" w:lineRule="auto"/>
                  <w:rPr>
                    <w:color w:val="FFFFFF" w:themeColor="background1"/>
                  </w:rPr>
                </w:pPr>
                <w:r w:rsidRPr="00202BA5">
                  <w:fldChar w:fldCharType="begin"/>
                </w:r>
                <w:r w:rsidR="0093132F">
                  <w:instrText xml:space="preserve"> PAGE   \* MERGEFORMAT </w:instrText>
                </w:r>
                <w:r w:rsidRPr="00202BA5">
                  <w:fldChar w:fldCharType="separate"/>
                </w:r>
                <w:r w:rsidR="007249C6" w:rsidRPr="004C2D2E">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D6D"/>
    <w:multiLevelType w:val="hybridMultilevel"/>
    <w:tmpl w:val="80F26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D374AE5"/>
    <w:multiLevelType w:val="hybridMultilevel"/>
    <w:tmpl w:val="D4CE8CD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
    <w:nsid w:val="3F612907"/>
    <w:multiLevelType w:val="hybridMultilevel"/>
    <w:tmpl w:val="52086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DE74077"/>
    <w:multiLevelType w:val="hybridMultilevel"/>
    <w:tmpl w:val="7AC085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6E32E49"/>
    <w:multiLevelType w:val="hybridMultilevel"/>
    <w:tmpl w:val="6C1E24FE"/>
    <w:lvl w:ilvl="0" w:tplc="0415000F">
      <w:start w:val="1"/>
      <w:numFmt w:val="decimal"/>
      <w:lvlText w:val="%1."/>
      <w:lvlJc w:val="left"/>
      <w:pPr>
        <w:ind w:left="360" w:hanging="360"/>
      </w:pPr>
    </w:lvl>
    <w:lvl w:ilvl="1" w:tplc="04150019">
      <w:start w:val="1"/>
      <w:numFmt w:val="lowerLetter"/>
      <w:lvlText w:val="%2."/>
      <w:lvlJc w:val="left"/>
      <w:pPr>
        <w:ind w:left="1069"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evenAndOddHeaders/>
  <w:drawingGridHorizontalSpacing w:val="120"/>
  <w:displayHorizontalDrawingGridEvery w:val="2"/>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rsids>
    <w:rsidRoot w:val="00B90F3C"/>
    <w:rsid w:val="00002F1D"/>
    <w:rsid w:val="00020F3C"/>
    <w:rsid w:val="00032A9F"/>
    <w:rsid w:val="00032AB5"/>
    <w:rsid w:val="00032E52"/>
    <w:rsid w:val="00035A11"/>
    <w:rsid w:val="000414DD"/>
    <w:rsid w:val="00042BD5"/>
    <w:rsid w:val="000537E9"/>
    <w:rsid w:val="00091576"/>
    <w:rsid w:val="000B11BA"/>
    <w:rsid w:val="000C11FE"/>
    <w:rsid w:val="000F4F1C"/>
    <w:rsid w:val="000F6246"/>
    <w:rsid w:val="00102565"/>
    <w:rsid w:val="00107636"/>
    <w:rsid w:val="00125402"/>
    <w:rsid w:val="0013013C"/>
    <w:rsid w:val="00135487"/>
    <w:rsid w:val="00141D2A"/>
    <w:rsid w:val="00151D11"/>
    <w:rsid w:val="0018287E"/>
    <w:rsid w:val="00184144"/>
    <w:rsid w:val="001912C5"/>
    <w:rsid w:val="001B3513"/>
    <w:rsid w:val="001C0EAB"/>
    <w:rsid w:val="001C6907"/>
    <w:rsid w:val="001E0FBD"/>
    <w:rsid w:val="001E6776"/>
    <w:rsid w:val="001F3E36"/>
    <w:rsid w:val="001F778D"/>
    <w:rsid w:val="00202BA5"/>
    <w:rsid w:val="00203D19"/>
    <w:rsid w:val="002174DE"/>
    <w:rsid w:val="002318F9"/>
    <w:rsid w:val="00231DB9"/>
    <w:rsid w:val="002374F3"/>
    <w:rsid w:val="002526CB"/>
    <w:rsid w:val="002656B3"/>
    <w:rsid w:val="00274DC4"/>
    <w:rsid w:val="002767E6"/>
    <w:rsid w:val="002A5C0C"/>
    <w:rsid w:val="002C08C1"/>
    <w:rsid w:val="002C61B0"/>
    <w:rsid w:val="002D009F"/>
    <w:rsid w:val="002D0707"/>
    <w:rsid w:val="002D60A3"/>
    <w:rsid w:val="002E33CB"/>
    <w:rsid w:val="002E4C07"/>
    <w:rsid w:val="002F4587"/>
    <w:rsid w:val="002F6302"/>
    <w:rsid w:val="00306614"/>
    <w:rsid w:val="003369F8"/>
    <w:rsid w:val="00341794"/>
    <w:rsid w:val="00351ECF"/>
    <w:rsid w:val="00366B0E"/>
    <w:rsid w:val="00386D4D"/>
    <w:rsid w:val="003872D4"/>
    <w:rsid w:val="00395B1B"/>
    <w:rsid w:val="003B7735"/>
    <w:rsid w:val="003C2AF1"/>
    <w:rsid w:val="003D30C2"/>
    <w:rsid w:val="003E5DA7"/>
    <w:rsid w:val="003E7674"/>
    <w:rsid w:val="003F2412"/>
    <w:rsid w:val="003F2CEE"/>
    <w:rsid w:val="00401F47"/>
    <w:rsid w:val="00421F65"/>
    <w:rsid w:val="00436889"/>
    <w:rsid w:val="00474D6F"/>
    <w:rsid w:val="004872F5"/>
    <w:rsid w:val="00491ECD"/>
    <w:rsid w:val="004952CA"/>
    <w:rsid w:val="004B1D23"/>
    <w:rsid w:val="004C2D2E"/>
    <w:rsid w:val="004C3CE1"/>
    <w:rsid w:val="004E0E13"/>
    <w:rsid w:val="004E19C9"/>
    <w:rsid w:val="004E3FB8"/>
    <w:rsid w:val="005011EC"/>
    <w:rsid w:val="0051018B"/>
    <w:rsid w:val="005164A3"/>
    <w:rsid w:val="005252E0"/>
    <w:rsid w:val="00550829"/>
    <w:rsid w:val="00571574"/>
    <w:rsid w:val="005923BE"/>
    <w:rsid w:val="00593EAB"/>
    <w:rsid w:val="005A21C0"/>
    <w:rsid w:val="005A62E2"/>
    <w:rsid w:val="005D04A1"/>
    <w:rsid w:val="005E4017"/>
    <w:rsid w:val="005F60CE"/>
    <w:rsid w:val="00601511"/>
    <w:rsid w:val="00601E91"/>
    <w:rsid w:val="00605835"/>
    <w:rsid w:val="006109E6"/>
    <w:rsid w:val="006360D7"/>
    <w:rsid w:val="0065278A"/>
    <w:rsid w:val="00672204"/>
    <w:rsid w:val="006907AF"/>
    <w:rsid w:val="006A157B"/>
    <w:rsid w:val="006B3845"/>
    <w:rsid w:val="00715F4C"/>
    <w:rsid w:val="007200EB"/>
    <w:rsid w:val="00721C5F"/>
    <w:rsid w:val="007243D4"/>
    <w:rsid w:val="007249C6"/>
    <w:rsid w:val="00730961"/>
    <w:rsid w:val="00730C70"/>
    <w:rsid w:val="0074231F"/>
    <w:rsid w:val="00744FEE"/>
    <w:rsid w:val="007505FA"/>
    <w:rsid w:val="007507B0"/>
    <w:rsid w:val="00757ACF"/>
    <w:rsid w:val="00773621"/>
    <w:rsid w:val="00787EE0"/>
    <w:rsid w:val="00791589"/>
    <w:rsid w:val="007931AD"/>
    <w:rsid w:val="007A2963"/>
    <w:rsid w:val="007A7D08"/>
    <w:rsid w:val="007B142B"/>
    <w:rsid w:val="007B5B16"/>
    <w:rsid w:val="007B7F19"/>
    <w:rsid w:val="007D594A"/>
    <w:rsid w:val="007E3D08"/>
    <w:rsid w:val="00800C46"/>
    <w:rsid w:val="0080615F"/>
    <w:rsid w:val="008136AB"/>
    <w:rsid w:val="00824D5D"/>
    <w:rsid w:val="00826509"/>
    <w:rsid w:val="008366B1"/>
    <w:rsid w:val="00854E60"/>
    <w:rsid w:val="00861B55"/>
    <w:rsid w:val="00874011"/>
    <w:rsid w:val="008A12D8"/>
    <w:rsid w:val="008A6777"/>
    <w:rsid w:val="008C2B72"/>
    <w:rsid w:val="008C5A4B"/>
    <w:rsid w:val="008D1666"/>
    <w:rsid w:val="008D2605"/>
    <w:rsid w:val="008D522B"/>
    <w:rsid w:val="008E5A6A"/>
    <w:rsid w:val="00914C65"/>
    <w:rsid w:val="0092339A"/>
    <w:rsid w:val="0092447A"/>
    <w:rsid w:val="009246E2"/>
    <w:rsid w:val="0093132F"/>
    <w:rsid w:val="00944D04"/>
    <w:rsid w:val="009504AF"/>
    <w:rsid w:val="00954C8B"/>
    <w:rsid w:val="009627C7"/>
    <w:rsid w:val="00973824"/>
    <w:rsid w:val="00994DEB"/>
    <w:rsid w:val="009A0F71"/>
    <w:rsid w:val="009C0AF6"/>
    <w:rsid w:val="009E5CAD"/>
    <w:rsid w:val="009F5F60"/>
    <w:rsid w:val="00A029C2"/>
    <w:rsid w:val="00A20CF6"/>
    <w:rsid w:val="00A3043C"/>
    <w:rsid w:val="00A30C5D"/>
    <w:rsid w:val="00A37DDA"/>
    <w:rsid w:val="00A409C4"/>
    <w:rsid w:val="00A44BE2"/>
    <w:rsid w:val="00A519B7"/>
    <w:rsid w:val="00A703B3"/>
    <w:rsid w:val="00A93D63"/>
    <w:rsid w:val="00A94880"/>
    <w:rsid w:val="00A962D5"/>
    <w:rsid w:val="00A9691B"/>
    <w:rsid w:val="00AB4CA9"/>
    <w:rsid w:val="00AE1057"/>
    <w:rsid w:val="00B034E0"/>
    <w:rsid w:val="00B22CD5"/>
    <w:rsid w:val="00B248BD"/>
    <w:rsid w:val="00B30386"/>
    <w:rsid w:val="00B32BCD"/>
    <w:rsid w:val="00B33B07"/>
    <w:rsid w:val="00B50DA0"/>
    <w:rsid w:val="00B55964"/>
    <w:rsid w:val="00B62FD9"/>
    <w:rsid w:val="00B90F3C"/>
    <w:rsid w:val="00B9161D"/>
    <w:rsid w:val="00B97424"/>
    <w:rsid w:val="00BA361D"/>
    <w:rsid w:val="00BB6BCE"/>
    <w:rsid w:val="00BD1CD1"/>
    <w:rsid w:val="00BD7402"/>
    <w:rsid w:val="00BF1F38"/>
    <w:rsid w:val="00BF6915"/>
    <w:rsid w:val="00BF73BB"/>
    <w:rsid w:val="00C027D8"/>
    <w:rsid w:val="00C1279F"/>
    <w:rsid w:val="00C14CFD"/>
    <w:rsid w:val="00C268E0"/>
    <w:rsid w:val="00C27125"/>
    <w:rsid w:val="00C34769"/>
    <w:rsid w:val="00C4512B"/>
    <w:rsid w:val="00C4538F"/>
    <w:rsid w:val="00C47364"/>
    <w:rsid w:val="00C960E7"/>
    <w:rsid w:val="00CA3F27"/>
    <w:rsid w:val="00CA63E5"/>
    <w:rsid w:val="00CB1CA0"/>
    <w:rsid w:val="00CB330A"/>
    <w:rsid w:val="00CD123D"/>
    <w:rsid w:val="00CD61A3"/>
    <w:rsid w:val="00CE5000"/>
    <w:rsid w:val="00CF6963"/>
    <w:rsid w:val="00D03AC2"/>
    <w:rsid w:val="00D23654"/>
    <w:rsid w:val="00D3270F"/>
    <w:rsid w:val="00D40F64"/>
    <w:rsid w:val="00D765BD"/>
    <w:rsid w:val="00D8117D"/>
    <w:rsid w:val="00D8346D"/>
    <w:rsid w:val="00D944A0"/>
    <w:rsid w:val="00D96FD1"/>
    <w:rsid w:val="00DA54C1"/>
    <w:rsid w:val="00DD3A1A"/>
    <w:rsid w:val="00DD7E09"/>
    <w:rsid w:val="00DE7622"/>
    <w:rsid w:val="00E14997"/>
    <w:rsid w:val="00E36D36"/>
    <w:rsid w:val="00E403B5"/>
    <w:rsid w:val="00E44EA6"/>
    <w:rsid w:val="00E52F9C"/>
    <w:rsid w:val="00E53B76"/>
    <w:rsid w:val="00E66007"/>
    <w:rsid w:val="00E72880"/>
    <w:rsid w:val="00E77545"/>
    <w:rsid w:val="00E77C68"/>
    <w:rsid w:val="00E93659"/>
    <w:rsid w:val="00EC6135"/>
    <w:rsid w:val="00EC730C"/>
    <w:rsid w:val="00ED31A7"/>
    <w:rsid w:val="00F03411"/>
    <w:rsid w:val="00F06406"/>
    <w:rsid w:val="00F11E80"/>
    <w:rsid w:val="00F136DA"/>
    <w:rsid w:val="00F173C6"/>
    <w:rsid w:val="00F2757F"/>
    <w:rsid w:val="00F3609A"/>
    <w:rsid w:val="00F40408"/>
    <w:rsid w:val="00F41F75"/>
    <w:rsid w:val="00F470FE"/>
    <w:rsid w:val="00F552CA"/>
    <w:rsid w:val="00F605A9"/>
    <w:rsid w:val="00F85A77"/>
    <w:rsid w:val="00FA29A8"/>
    <w:rsid w:val="00FA74A6"/>
    <w:rsid w:val="00FB4F01"/>
    <w:rsid w:val="00FE78DE"/>
    <w:rsid w:val="00FE7DA4"/>
    <w:rsid w:val="00FF667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ind w:left="851" w:hanging="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2204"/>
    <w:rPr>
      <w:rFonts w:ascii="Arial" w:hAnsi="Arial"/>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C027D8"/>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C027D8"/>
    <w:rPr>
      <w:rFonts w:ascii="Arial" w:hAnsi="Arial"/>
      <w:sz w:val="20"/>
      <w:szCs w:val="20"/>
    </w:rPr>
  </w:style>
  <w:style w:type="character" w:styleId="Odwoanieprzypisudolnego">
    <w:name w:val="footnote reference"/>
    <w:basedOn w:val="Domylnaczcionkaakapitu"/>
    <w:uiPriority w:val="99"/>
    <w:unhideWhenUsed/>
    <w:rsid w:val="00C027D8"/>
    <w:rPr>
      <w:vertAlign w:val="superscript"/>
    </w:rPr>
  </w:style>
  <w:style w:type="character" w:styleId="Hipercze">
    <w:name w:val="Hyperlink"/>
    <w:basedOn w:val="Domylnaczcionkaakapitu"/>
    <w:uiPriority w:val="99"/>
    <w:unhideWhenUsed/>
    <w:rsid w:val="00C027D8"/>
    <w:rPr>
      <w:color w:val="0000FF" w:themeColor="hyperlink"/>
      <w:u w:val="single"/>
    </w:rPr>
  </w:style>
  <w:style w:type="paragraph" w:styleId="Tekstdymka">
    <w:name w:val="Balloon Text"/>
    <w:basedOn w:val="Normalny"/>
    <w:link w:val="TekstdymkaZnak"/>
    <w:uiPriority w:val="99"/>
    <w:semiHidden/>
    <w:unhideWhenUsed/>
    <w:rsid w:val="004C2D2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2D2E"/>
    <w:rPr>
      <w:rFonts w:ascii="Tahoma" w:hAnsi="Tahoma" w:cs="Tahoma"/>
      <w:sz w:val="16"/>
      <w:szCs w:val="16"/>
    </w:rPr>
  </w:style>
  <w:style w:type="paragraph" w:styleId="Bezodstpw">
    <w:name w:val="No Spacing"/>
    <w:link w:val="BezodstpwZnak"/>
    <w:uiPriority w:val="1"/>
    <w:qFormat/>
    <w:rsid w:val="004C2D2E"/>
    <w:pPr>
      <w:spacing w:line="240" w:lineRule="auto"/>
      <w:ind w:left="0" w:firstLine="0"/>
      <w:jc w:val="left"/>
    </w:pPr>
    <w:rPr>
      <w:rFonts w:eastAsiaTheme="minorEastAsia"/>
    </w:rPr>
  </w:style>
  <w:style w:type="character" w:customStyle="1" w:styleId="BezodstpwZnak">
    <w:name w:val="Bez odstępów Znak"/>
    <w:basedOn w:val="Domylnaczcionkaakapitu"/>
    <w:link w:val="Bezodstpw"/>
    <w:uiPriority w:val="1"/>
    <w:rsid w:val="004C2D2E"/>
    <w:rPr>
      <w:rFonts w:eastAsiaTheme="minorEastAsia"/>
    </w:rPr>
  </w:style>
  <w:style w:type="paragraph" w:styleId="Nagwek">
    <w:name w:val="header"/>
    <w:basedOn w:val="Normalny"/>
    <w:link w:val="NagwekZnak"/>
    <w:uiPriority w:val="99"/>
    <w:semiHidden/>
    <w:unhideWhenUsed/>
    <w:rsid w:val="004C2D2E"/>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4C2D2E"/>
    <w:rPr>
      <w:rFonts w:ascii="Arial" w:hAnsi="Arial"/>
      <w:sz w:val="24"/>
    </w:rPr>
  </w:style>
  <w:style w:type="paragraph" w:styleId="Stopka">
    <w:name w:val="footer"/>
    <w:basedOn w:val="Normalny"/>
    <w:link w:val="StopkaZnak"/>
    <w:uiPriority w:val="99"/>
    <w:semiHidden/>
    <w:unhideWhenUsed/>
    <w:rsid w:val="004C2D2E"/>
    <w:pPr>
      <w:tabs>
        <w:tab w:val="center" w:pos="4536"/>
        <w:tab w:val="right" w:pos="9072"/>
      </w:tabs>
      <w:spacing w:line="240" w:lineRule="auto"/>
    </w:pPr>
  </w:style>
  <w:style w:type="character" w:customStyle="1" w:styleId="StopkaZnak">
    <w:name w:val="Stopka Znak"/>
    <w:basedOn w:val="Domylnaczcionkaakapitu"/>
    <w:link w:val="Stopka"/>
    <w:uiPriority w:val="99"/>
    <w:semiHidden/>
    <w:rsid w:val="004C2D2E"/>
    <w:rPr>
      <w:rFonts w:ascii="Arial" w:hAnsi="Arial"/>
      <w:sz w:val="24"/>
    </w:rPr>
  </w:style>
  <w:style w:type="paragraph" w:styleId="Legenda">
    <w:name w:val="caption"/>
    <w:basedOn w:val="Normalny"/>
    <w:next w:val="Normalny"/>
    <w:uiPriority w:val="35"/>
    <w:unhideWhenUsed/>
    <w:qFormat/>
    <w:rsid w:val="00D03AC2"/>
    <w:pPr>
      <w:spacing w:after="200" w:line="240" w:lineRule="auto"/>
    </w:pPr>
    <w:rPr>
      <w:b/>
      <w:bCs/>
      <w:color w:val="4F81BD" w:themeColor="accent1"/>
      <w:sz w:val="18"/>
      <w:szCs w:val="18"/>
    </w:rPr>
  </w:style>
  <w:style w:type="paragraph" w:styleId="Akapitzlist">
    <w:name w:val="List Paragraph"/>
    <w:basedOn w:val="Normalny"/>
    <w:uiPriority w:val="34"/>
    <w:qFormat/>
    <w:rsid w:val="00436889"/>
    <w:pPr>
      <w:ind w:left="720"/>
      <w:contextualSpacing/>
    </w:pPr>
  </w:style>
  <w:style w:type="paragraph" w:styleId="Spisilustracji">
    <w:name w:val="table of figures"/>
    <w:basedOn w:val="Normalny"/>
    <w:next w:val="Normalny"/>
    <w:uiPriority w:val="99"/>
    <w:unhideWhenUsed/>
    <w:rsid w:val="0013013C"/>
    <w:pPr>
      <w:ind w:left="0"/>
    </w:pPr>
  </w:style>
  <w:style w:type="paragraph" w:styleId="Tekstprzypisukocowego">
    <w:name w:val="endnote text"/>
    <w:basedOn w:val="Normalny"/>
    <w:link w:val="TekstprzypisukocowegoZnak"/>
    <w:uiPriority w:val="99"/>
    <w:semiHidden/>
    <w:unhideWhenUsed/>
    <w:rsid w:val="007249C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9C6"/>
    <w:rPr>
      <w:rFonts w:ascii="Arial" w:hAnsi="Arial"/>
      <w:sz w:val="20"/>
      <w:szCs w:val="20"/>
    </w:rPr>
  </w:style>
  <w:style w:type="character" w:styleId="Odwoanieprzypisukocowego">
    <w:name w:val="endnote reference"/>
    <w:basedOn w:val="Domylnaczcionkaakapitu"/>
    <w:uiPriority w:val="99"/>
    <w:semiHidden/>
    <w:unhideWhenUsed/>
    <w:rsid w:val="007249C6"/>
    <w:rPr>
      <w:vertAlign w:val="superscript"/>
    </w:rPr>
  </w:style>
  <w:style w:type="paragraph" w:styleId="NormalnyWeb">
    <w:name w:val="Normal (Web)"/>
    <w:basedOn w:val="Normalny"/>
    <w:uiPriority w:val="99"/>
    <w:unhideWhenUsed/>
    <w:rsid w:val="00491ECD"/>
    <w:pPr>
      <w:spacing w:before="100" w:beforeAutospacing="1" w:after="100" w:afterAutospacing="1" w:line="240" w:lineRule="auto"/>
      <w:ind w:left="0" w:firstLine="0"/>
      <w:jc w:val="left"/>
    </w:pPr>
    <w:rPr>
      <w:rFonts w:ascii="Times New Roman" w:eastAsia="Times New Roman" w:hAnsi="Times New Roman" w:cs="Times New Roman"/>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360" w:lineRule="auto"/>
        <w:ind w:left="851" w:hanging="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2204"/>
    <w:rPr>
      <w:rFonts w:ascii="Arial" w:hAnsi="Arial"/>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C027D8"/>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C027D8"/>
    <w:rPr>
      <w:rFonts w:ascii="Arial" w:hAnsi="Arial"/>
      <w:sz w:val="20"/>
      <w:szCs w:val="20"/>
    </w:rPr>
  </w:style>
  <w:style w:type="character" w:styleId="Odwoanieprzypisudolnego">
    <w:name w:val="footnote reference"/>
    <w:basedOn w:val="Domylnaczcionkaakapitu"/>
    <w:uiPriority w:val="99"/>
    <w:unhideWhenUsed/>
    <w:rsid w:val="00C027D8"/>
    <w:rPr>
      <w:vertAlign w:val="superscript"/>
    </w:rPr>
  </w:style>
  <w:style w:type="character" w:styleId="Hipercze">
    <w:name w:val="Hyperlink"/>
    <w:basedOn w:val="Domylnaczcionkaakapitu"/>
    <w:uiPriority w:val="99"/>
    <w:unhideWhenUsed/>
    <w:rsid w:val="00C027D8"/>
    <w:rPr>
      <w:color w:val="0000FF" w:themeColor="hyperlink"/>
      <w:u w:val="single"/>
    </w:rPr>
  </w:style>
  <w:style w:type="paragraph" w:styleId="Tekstdymka">
    <w:name w:val="Balloon Text"/>
    <w:basedOn w:val="Normalny"/>
    <w:link w:val="TekstdymkaZnak"/>
    <w:uiPriority w:val="99"/>
    <w:semiHidden/>
    <w:unhideWhenUsed/>
    <w:rsid w:val="004C2D2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2D2E"/>
    <w:rPr>
      <w:rFonts w:ascii="Tahoma" w:hAnsi="Tahoma" w:cs="Tahoma"/>
      <w:sz w:val="16"/>
      <w:szCs w:val="16"/>
    </w:rPr>
  </w:style>
  <w:style w:type="paragraph" w:styleId="Bezodstpw">
    <w:name w:val="No Spacing"/>
    <w:link w:val="BezodstpwZnak"/>
    <w:uiPriority w:val="1"/>
    <w:qFormat/>
    <w:rsid w:val="004C2D2E"/>
    <w:pPr>
      <w:spacing w:line="240" w:lineRule="auto"/>
      <w:ind w:left="0" w:firstLine="0"/>
      <w:jc w:val="left"/>
    </w:pPr>
    <w:rPr>
      <w:rFonts w:eastAsiaTheme="minorEastAsia"/>
    </w:rPr>
  </w:style>
  <w:style w:type="character" w:customStyle="1" w:styleId="BezodstpwZnak">
    <w:name w:val="Bez odstępów Znak"/>
    <w:basedOn w:val="Domylnaczcionkaakapitu"/>
    <w:link w:val="Bezodstpw"/>
    <w:uiPriority w:val="1"/>
    <w:rsid w:val="004C2D2E"/>
    <w:rPr>
      <w:rFonts w:eastAsiaTheme="minorEastAsia"/>
    </w:rPr>
  </w:style>
  <w:style w:type="paragraph" w:styleId="Nagwek">
    <w:name w:val="header"/>
    <w:basedOn w:val="Normalny"/>
    <w:link w:val="NagwekZnak"/>
    <w:uiPriority w:val="99"/>
    <w:semiHidden/>
    <w:unhideWhenUsed/>
    <w:rsid w:val="004C2D2E"/>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4C2D2E"/>
    <w:rPr>
      <w:rFonts w:ascii="Arial" w:hAnsi="Arial"/>
      <w:sz w:val="24"/>
    </w:rPr>
  </w:style>
  <w:style w:type="paragraph" w:styleId="Stopka">
    <w:name w:val="footer"/>
    <w:basedOn w:val="Normalny"/>
    <w:link w:val="StopkaZnak"/>
    <w:uiPriority w:val="99"/>
    <w:semiHidden/>
    <w:unhideWhenUsed/>
    <w:rsid w:val="004C2D2E"/>
    <w:pPr>
      <w:tabs>
        <w:tab w:val="center" w:pos="4536"/>
        <w:tab w:val="right" w:pos="9072"/>
      </w:tabs>
      <w:spacing w:line="240" w:lineRule="auto"/>
    </w:pPr>
  </w:style>
  <w:style w:type="character" w:customStyle="1" w:styleId="StopkaZnak">
    <w:name w:val="Stopka Znak"/>
    <w:basedOn w:val="Domylnaczcionkaakapitu"/>
    <w:link w:val="Stopka"/>
    <w:uiPriority w:val="99"/>
    <w:semiHidden/>
    <w:rsid w:val="004C2D2E"/>
    <w:rPr>
      <w:rFonts w:ascii="Arial" w:hAnsi="Arial"/>
      <w:sz w:val="24"/>
    </w:rPr>
  </w:style>
  <w:style w:type="paragraph" w:styleId="Legenda">
    <w:name w:val="caption"/>
    <w:basedOn w:val="Normalny"/>
    <w:next w:val="Normalny"/>
    <w:uiPriority w:val="35"/>
    <w:unhideWhenUsed/>
    <w:qFormat/>
    <w:rsid w:val="00D03AC2"/>
    <w:pPr>
      <w:spacing w:after="200" w:line="240" w:lineRule="auto"/>
    </w:pPr>
    <w:rPr>
      <w:b/>
      <w:bCs/>
      <w:color w:val="4F81BD" w:themeColor="accent1"/>
      <w:sz w:val="18"/>
      <w:szCs w:val="18"/>
    </w:rPr>
  </w:style>
  <w:style w:type="paragraph" w:styleId="Akapitzlist">
    <w:name w:val="List Paragraph"/>
    <w:basedOn w:val="Normalny"/>
    <w:uiPriority w:val="34"/>
    <w:qFormat/>
    <w:rsid w:val="00436889"/>
    <w:pPr>
      <w:ind w:left="720"/>
      <w:contextualSpacing/>
    </w:pPr>
  </w:style>
  <w:style w:type="paragraph" w:styleId="Spisilustracji">
    <w:name w:val="table of figures"/>
    <w:basedOn w:val="Normalny"/>
    <w:next w:val="Normalny"/>
    <w:uiPriority w:val="99"/>
    <w:unhideWhenUsed/>
    <w:rsid w:val="0013013C"/>
    <w:pPr>
      <w:ind w:left="0"/>
    </w:pPr>
  </w:style>
  <w:style w:type="paragraph" w:styleId="Tekstprzypisukocowego">
    <w:name w:val="endnote text"/>
    <w:basedOn w:val="Normalny"/>
    <w:link w:val="TekstprzypisukocowegoZnak"/>
    <w:uiPriority w:val="99"/>
    <w:semiHidden/>
    <w:unhideWhenUsed/>
    <w:rsid w:val="007249C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9C6"/>
    <w:rPr>
      <w:rFonts w:ascii="Arial" w:hAnsi="Arial"/>
      <w:sz w:val="20"/>
      <w:szCs w:val="20"/>
    </w:rPr>
  </w:style>
  <w:style w:type="character" w:styleId="Odwoanieprzypisukocowego">
    <w:name w:val="endnote reference"/>
    <w:basedOn w:val="Domylnaczcionkaakapitu"/>
    <w:uiPriority w:val="99"/>
    <w:semiHidden/>
    <w:unhideWhenUsed/>
    <w:rsid w:val="007249C6"/>
    <w:rPr>
      <w:vertAlign w:val="superscript"/>
    </w:rPr>
  </w:style>
  <w:style w:type="paragraph" w:styleId="NormalnyWeb">
    <w:name w:val="Normal (Web)"/>
    <w:basedOn w:val="Normalny"/>
    <w:uiPriority w:val="99"/>
    <w:unhideWhenUsed/>
    <w:rsid w:val="00491ECD"/>
    <w:pPr>
      <w:spacing w:before="100" w:beforeAutospacing="1" w:after="100" w:afterAutospacing="1" w:line="240" w:lineRule="auto"/>
      <w:ind w:left="0" w:firstLine="0"/>
      <w:jc w:val="left"/>
    </w:pPr>
    <w:rPr>
      <w:rFonts w:ascii="Times New Roman" w:eastAsia="Times New Roman" w:hAnsi="Times New Roman" w:cs="Times New Roman"/>
      <w:szCs w:val="24"/>
      <w:lang w:eastAsia="pl-PL"/>
    </w:rPr>
  </w:style>
</w:styles>
</file>

<file path=word/webSettings.xml><?xml version="1.0" encoding="utf-8"?>
<w:webSettings xmlns:r="http://schemas.openxmlformats.org/officeDocument/2006/relationships" xmlns:w="http://schemas.openxmlformats.org/wordprocessingml/2006/main">
  <w:divs>
    <w:div w:id="4946164">
      <w:bodyDiv w:val="1"/>
      <w:marLeft w:val="0"/>
      <w:marRight w:val="0"/>
      <w:marTop w:val="0"/>
      <w:marBottom w:val="0"/>
      <w:divBdr>
        <w:top w:val="none" w:sz="0" w:space="0" w:color="auto"/>
        <w:left w:val="none" w:sz="0" w:space="0" w:color="auto"/>
        <w:bottom w:val="none" w:sz="0" w:space="0" w:color="auto"/>
        <w:right w:val="none" w:sz="0" w:space="0" w:color="auto"/>
      </w:divBdr>
    </w:div>
    <w:div w:id="32117163">
      <w:bodyDiv w:val="1"/>
      <w:marLeft w:val="0"/>
      <w:marRight w:val="0"/>
      <w:marTop w:val="0"/>
      <w:marBottom w:val="0"/>
      <w:divBdr>
        <w:top w:val="none" w:sz="0" w:space="0" w:color="auto"/>
        <w:left w:val="none" w:sz="0" w:space="0" w:color="auto"/>
        <w:bottom w:val="none" w:sz="0" w:space="0" w:color="auto"/>
        <w:right w:val="none" w:sz="0" w:space="0" w:color="auto"/>
      </w:divBdr>
    </w:div>
    <w:div w:id="129132350">
      <w:bodyDiv w:val="1"/>
      <w:marLeft w:val="0"/>
      <w:marRight w:val="0"/>
      <w:marTop w:val="0"/>
      <w:marBottom w:val="0"/>
      <w:divBdr>
        <w:top w:val="none" w:sz="0" w:space="0" w:color="auto"/>
        <w:left w:val="none" w:sz="0" w:space="0" w:color="auto"/>
        <w:bottom w:val="none" w:sz="0" w:space="0" w:color="auto"/>
        <w:right w:val="none" w:sz="0" w:space="0" w:color="auto"/>
      </w:divBdr>
    </w:div>
    <w:div w:id="132255781">
      <w:bodyDiv w:val="1"/>
      <w:marLeft w:val="0"/>
      <w:marRight w:val="0"/>
      <w:marTop w:val="0"/>
      <w:marBottom w:val="0"/>
      <w:divBdr>
        <w:top w:val="none" w:sz="0" w:space="0" w:color="auto"/>
        <w:left w:val="none" w:sz="0" w:space="0" w:color="auto"/>
        <w:bottom w:val="none" w:sz="0" w:space="0" w:color="auto"/>
        <w:right w:val="none" w:sz="0" w:space="0" w:color="auto"/>
      </w:divBdr>
    </w:div>
    <w:div w:id="135612014">
      <w:bodyDiv w:val="1"/>
      <w:marLeft w:val="0"/>
      <w:marRight w:val="0"/>
      <w:marTop w:val="0"/>
      <w:marBottom w:val="0"/>
      <w:divBdr>
        <w:top w:val="none" w:sz="0" w:space="0" w:color="auto"/>
        <w:left w:val="none" w:sz="0" w:space="0" w:color="auto"/>
        <w:bottom w:val="none" w:sz="0" w:space="0" w:color="auto"/>
        <w:right w:val="none" w:sz="0" w:space="0" w:color="auto"/>
      </w:divBdr>
    </w:div>
    <w:div w:id="373620980">
      <w:bodyDiv w:val="1"/>
      <w:marLeft w:val="0"/>
      <w:marRight w:val="0"/>
      <w:marTop w:val="0"/>
      <w:marBottom w:val="0"/>
      <w:divBdr>
        <w:top w:val="none" w:sz="0" w:space="0" w:color="auto"/>
        <w:left w:val="none" w:sz="0" w:space="0" w:color="auto"/>
        <w:bottom w:val="none" w:sz="0" w:space="0" w:color="auto"/>
        <w:right w:val="none" w:sz="0" w:space="0" w:color="auto"/>
      </w:divBdr>
    </w:div>
    <w:div w:id="623732799">
      <w:bodyDiv w:val="1"/>
      <w:marLeft w:val="0"/>
      <w:marRight w:val="0"/>
      <w:marTop w:val="0"/>
      <w:marBottom w:val="0"/>
      <w:divBdr>
        <w:top w:val="none" w:sz="0" w:space="0" w:color="auto"/>
        <w:left w:val="none" w:sz="0" w:space="0" w:color="auto"/>
        <w:bottom w:val="none" w:sz="0" w:space="0" w:color="auto"/>
        <w:right w:val="none" w:sz="0" w:space="0" w:color="auto"/>
      </w:divBdr>
    </w:div>
    <w:div w:id="644120481">
      <w:bodyDiv w:val="1"/>
      <w:marLeft w:val="0"/>
      <w:marRight w:val="0"/>
      <w:marTop w:val="0"/>
      <w:marBottom w:val="0"/>
      <w:divBdr>
        <w:top w:val="none" w:sz="0" w:space="0" w:color="auto"/>
        <w:left w:val="none" w:sz="0" w:space="0" w:color="auto"/>
        <w:bottom w:val="none" w:sz="0" w:space="0" w:color="auto"/>
        <w:right w:val="none" w:sz="0" w:space="0" w:color="auto"/>
      </w:divBdr>
    </w:div>
    <w:div w:id="720592239">
      <w:bodyDiv w:val="1"/>
      <w:marLeft w:val="0"/>
      <w:marRight w:val="0"/>
      <w:marTop w:val="0"/>
      <w:marBottom w:val="0"/>
      <w:divBdr>
        <w:top w:val="none" w:sz="0" w:space="0" w:color="auto"/>
        <w:left w:val="none" w:sz="0" w:space="0" w:color="auto"/>
        <w:bottom w:val="none" w:sz="0" w:space="0" w:color="auto"/>
        <w:right w:val="none" w:sz="0" w:space="0" w:color="auto"/>
      </w:divBdr>
    </w:div>
    <w:div w:id="910430685">
      <w:bodyDiv w:val="1"/>
      <w:marLeft w:val="0"/>
      <w:marRight w:val="0"/>
      <w:marTop w:val="0"/>
      <w:marBottom w:val="0"/>
      <w:divBdr>
        <w:top w:val="none" w:sz="0" w:space="0" w:color="auto"/>
        <w:left w:val="none" w:sz="0" w:space="0" w:color="auto"/>
        <w:bottom w:val="none" w:sz="0" w:space="0" w:color="auto"/>
        <w:right w:val="none" w:sz="0" w:space="0" w:color="auto"/>
      </w:divBdr>
    </w:div>
    <w:div w:id="1069884361">
      <w:bodyDiv w:val="1"/>
      <w:marLeft w:val="0"/>
      <w:marRight w:val="0"/>
      <w:marTop w:val="0"/>
      <w:marBottom w:val="0"/>
      <w:divBdr>
        <w:top w:val="none" w:sz="0" w:space="0" w:color="auto"/>
        <w:left w:val="none" w:sz="0" w:space="0" w:color="auto"/>
        <w:bottom w:val="none" w:sz="0" w:space="0" w:color="auto"/>
        <w:right w:val="none" w:sz="0" w:space="0" w:color="auto"/>
      </w:divBdr>
    </w:div>
    <w:div w:id="1118179709">
      <w:bodyDiv w:val="1"/>
      <w:marLeft w:val="0"/>
      <w:marRight w:val="0"/>
      <w:marTop w:val="0"/>
      <w:marBottom w:val="0"/>
      <w:divBdr>
        <w:top w:val="none" w:sz="0" w:space="0" w:color="auto"/>
        <w:left w:val="none" w:sz="0" w:space="0" w:color="auto"/>
        <w:bottom w:val="none" w:sz="0" w:space="0" w:color="auto"/>
        <w:right w:val="none" w:sz="0" w:space="0" w:color="auto"/>
      </w:divBdr>
    </w:div>
    <w:div w:id="1216089317">
      <w:bodyDiv w:val="1"/>
      <w:marLeft w:val="0"/>
      <w:marRight w:val="0"/>
      <w:marTop w:val="0"/>
      <w:marBottom w:val="0"/>
      <w:divBdr>
        <w:top w:val="none" w:sz="0" w:space="0" w:color="auto"/>
        <w:left w:val="none" w:sz="0" w:space="0" w:color="auto"/>
        <w:bottom w:val="none" w:sz="0" w:space="0" w:color="auto"/>
        <w:right w:val="none" w:sz="0" w:space="0" w:color="auto"/>
      </w:divBdr>
    </w:div>
    <w:div w:id="1281957354">
      <w:bodyDiv w:val="1"/>
      <w:marLeft w:val="0"/>
      <w:marRight w:val="0"/>
      <w:marTop w:val="0"/>
      <w:marBottom w:val="0"/>
      <w:divBdr>
        <w:top w:val="none" w:sz="0" w:space="0" w:color="auto"/>
        <w:left w:val="none" w:sz="0" w:space="0" w:color="auto"/>
        <w:bottom w:val="none" w:sz="0" w:space="0" w:color="auto"/>
        <w:right w:val="none" w:sz="0" w:space="0" w:color="auto"/>
      </w:divBdr>
    </w:div>
    <w:div w:id="1466123044">
      <w:bodyDiv w:val="1"/>
      <w:marLeft w:val="0"/>
      <w:marRight w:val="0"/>
      <w:marTop w:val="0"/>
      <w:marBottom w:val="0"/>
      <w:divBdr>
        <w:top w:val="none" w:sz="0" w:space="0" w:color="auto"/>
        <w:left w:val="none" w:sz="0" w:space="0" w:color="auto"/>
        <w:bottom w:val="none" w:sz="0" w:space="0" w:color="auto"/>
        <w:right w:val="none" w:sz="0" w:space="0" w:color="auto"/>
      </w:divBdr>
    </w:div>
    <w:div w:id="1558659478">
      <w:bodyDiv w:val="1"/>
      <w:marLeft w:val="0"/>
      <w:marRight w:val="0"/>
      <w:marTop w:val="0"/>
      <w:marBottom w:val="0"/>
      <w:divBdr>
        <w:top w:val="none" w:sz="0" w:space="0" w:color="auto"/>
        <w:left w:val="none" w:sz="0" w:space="0" w:color="auto"/>
        <w:bottom w:val="none" w:sz="0" w:space="0" w:color="auto"/>
        <w:right w:val="none" w:sz="0" w:space="0" w:color="auto"/>
      </w:divBdr>
    </w:div>
    <w:div w:id="1630550534">
      <w:bodyDiv w:val="1"/>
      <w:marLeft w:val="0"/>
      <w:marRight w:val="0"/>
      <w:marTop w:val="0"/>
      <w:marBottom w:val="0"/>
      <w:divBdr>
        <w:top w:val="none" w:sz="0" w:space="0" w:color="auto"/>
        <w:left w:val="none" w:sz="0" w:space="0" w:color="auto"/>
        <w:bottom w:val="none" w:sz="0" w:space="0" w:color="auto"/>
        <w:right w:val="none" w:sz="0" w:space="0" w:color="auto"/>
      </w:divBdr>
    </w:div>
    <w:div w:id="1723283994">
      <w:bodyDiv w:val="1"/>
      <w:marLeft w:val="0"/>
      <w:marRight w:val="0"/>
      <w:marTop w:val="0"/>
      <w:marBottom w:val="0"/>
      <w:divBdr>
        <w:top w:val="none" w:sz="0" w:space="0" w:color="auto"/>
        <w:left w:val="none" w:sz="0" w:space="0" w:color="auto"/>
        <w:bottom w:val="none" w:sz="0" w:space="0" w:color="auto"/>
        <w:right w:val="none" w:sz="0" w:space="0" w:color="auto"/>
      </w:divBdr>
    </w:div>
    <w:div w:id="1855806925">
      <w:bodyDiv w:val="1"/>
      <w:marLeft w:val="0"/>
      <w:marRight w:val="0"/>
      <w:marTop w:val="0"/>
      <w:marBottom w:val="0"/>
      <w:divBdr>
        <w:top w:val="none" w:sz="0" w:space="0" w:color="auto"/>
        <w:left w:val="none" w:sz="0" w:space="0" w:color="auto"/>
        <w:bottom w:val="none" w:sz="0" w:space="0" w:color="auto"/>
        <w:right w:val="none" w:sz="0" w:space="0" w:color="auto"/>
      </w:divBdr>
    </w:div>
    <w:div w:id="1925991714">
      <w:bodyDiv w:val="1"/>
      <w:marLeft w:val="0"/>
      <w:marRight w:val="0"/>
      <w:marTop w:val="0"/>
      <w:marBottom w:val="0"/>
      <w:divBdr>
        <w:top w:val="none" w:sz="0" w:space="0" w:color="auto"/>
        <w:left w:val="none" w:sz="0" w:space="0" w:color="auto"/>
        <w:bottom w:val="none" w:sz="0" w:space="0" w:color="auto"/>
        <w:right w:val="none" w:sz="0" w:space="0" w:color="auto"/>
      </w:divBdr>
    </w:div>
    <w:div w:id="2020084823">
      <w:bodyDiv w:val="1"/>
      <w:marLeft w:val="0"/>
      <w:marRight w:val="0"/>
      <w:marTop w:val="0"/>
      <w:marBottom w:val="0"/>
      <w:divBdr>
        <w:top w:val="none" w:sz="0" w:space="0" w:color="auto"/>
        <w:left w:val="none" w:sz="0" w:space="0" w:color="auto"/>
        <w:bottom w:val="none" w:sz="0" w:space="0" w:color="auto"/>
        <w:right w:val="none" w:sz="0" w:space="0" w:color="auto"/>
      </w:divBdr>
    </w:div>
    <w:div w:id="2034381370">
      <w:bodyDiv w:val="1"/>
      <w:marLeft w:val="0"/>
      <w:marRight w:val="0"/>
      <w:marTop w:val="0"/>
      <w:marBottom w:val="0"/>
      <w:divBdr>
        <w:top w:val="none" w:sz="0" w:space="0" w:color="auto"/>
        <w:left w:val="none" w:sz="0" w:space="0" w:color="auto"/>
        <w:bottom w:val="none" w:sz="0" w:space="0" w:color="auto"/>
        <w:right w:val="none" w:sz="0" w:space="0" w:color="auto"/>
      </w:divBdr>
    </w:div>
    <w:div w:id="2063944336">
      <w:bodyDiv w:val="1"/>
      <w:marLeft w:val="0"/>
      <w:marRight w:val="0"/>
      <w:marTop w:val="0"/>
      <w:marBottom w:val="0"/>
      <w:divBdr>
        <w:top w:val="none" w:sz="0" w:space="0" w:color="auto"/>
        <w:left w:val="none" w:sz="0" w:space="0" w:color="auto"/>
        <w:bottom w:val="none" w:sz="0" w:space="0" w:color="auto"/>
        <w:right w:val="none" w:sz="0" w:space="0" w:color="auto"/>
      </w:divBdr>
    </w:div>
    <w:div w:id="21237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pl.wikipedia.org/wiki/Gospodarstwo_domowe" TargetMode="External"/><Relationship Id="rId1" Type="http://schemas.openxmlformats.org/officeDocument/2006/relationships/hyperlink" Target="http://pl.wikipedia.org/wiki/G%C5%82%C3%B3wny_Urz%C4%85d_Statystyczn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UP\Desktop\DP_20140716_12125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tat.gov.pl/bdl/app/dane_podgrup.ajax_getFormat?p_id=803089&amp;p_format=XLS&amp;p_token=0.45596729469489394&amp;p_atry=N&amp;p_zero=N"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UP\Desktop\M&#322;odzi%20opracowanie\mlod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UP\Desktop\M&#322;odzi%20opracowanie\wy&#380;sze%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UP\Desktop\M&#322;odzi%20opracowanie\Studenci\studenc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UP\AppData\Local\Microsoft\Windows\Temporary%20Internet%20Files\Low\Content.IE5\6KJ361DQ\DP_20140918_114003%5b1%5d.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UP\AppData\Local\Microsoft\Windows\Temporary%20Internet%20Files\Low\Content.IE5\W3MDD0KC\DP_20140918_134940%5b1%5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UP\Desktop\M&#322;odz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tx>
            <c:strRef>
              <c:f>DATA!$J$7</c:f>
              <c:strCache>
                <c:ptCount val="1"/>
                <c:pt idx="0">
                  <c:v>Ogółem</c:v>
                </c:pt>
              </c:strCache>
            </c:strRef>
          </c:tx>
          <c:dLbls>
            <c:dLbl>
              <c:idx val="0"/>
              <c:tx>
                <c:rich>
                  <a:bodyPr/>
                  <a:lstStyle/>
                  <a:p>
                    <a:r>
                      <a:rPr lang="en-US" sz="800"/>
                      <a:t>2</a:t>
                    </a:r>
                    <a:r>
                      <a:rPr lang="en-US"/>
                      <a:t>9,4</a:t>
                    </a:r>
                    <a:r>
                      <a:rPr lang="pl-PL"/>
                      <a:t>%</a:t>
                    </a:r>
                    <a:endParaRPr lang="en-US"/>
                  </a:p>
                </c:rich>
              </c:tx>
              <c:showVal val="1"/>
            </c:dLbl>
            <c:dLbl>
              <c:idx val="1"/>
              <c:tx>
                <c:rich>
                  <a:bodyPr/>
                  <a:lstStyle/>
                  <a:p>
                    <a:r>
                      <a:rPr lang="en-US" sz="800"/>
                      <a:t>5</a:t>
                    </a:r>
                    <a:r>
                      <a:rPr lang="en-US"/>
                      <a:t>,7</a:t>
                    </a:r>
                    <a:r>
                      <a:rPr lang="pl-PL"/>
                      <a:t>%</a:t>
                    </a:r>
                    <a:endParaRPr lang="en-US"/>
                  </a:p>
                </c:rich>
              </c:tx>
              <c:showVal val="1"/>
            </c:dLbl>
            <c:dLbl>
              <c:idx val="2"/>
              <c:tx>
                <c:rich>
                  <a:bodyPr/>
                  <a:lstStyle/>
                  <a:p>
                    <a:r>
                      <a:rPr lang="en-US" sz="800"/>
                      <a:t>7</a:t>
                    </a:r>
                    <a:r>
                      <a:rPr lang="en-US"/>
                      <a:t>,0</a:t>
                    </a:r>
                    <a:r>
                      <a:rPr lang="pl-PL"/>
                      <a:t>%</a:t>
                    </a:r>
                    <a:endParaRPr lang="en-US"/>
                  </a:p>
                </c:rich>
              </c:tx>
              <c:showVal val="1"/>
            </c:dLbl>
            <c:dLbl>
              <c:idx val="3"/>
              <c:tx>
                <c:rich>
                  <a:bodyPr/>
                  <a:lstStyle/>
                  <a:p>
                    <a:r>
                      <a:rPr lang="en-US" sz="800"/>
                      <a:t>8</a:t>
                    </a:r>
                    <a:r>
                      <a:rPr lang="en-US"/>
                      <a:t>,2</a:t>
                    </a:r>
                    <a:r>
                      <a:rPr lang="pl-PL"/>
                      <a:t>%</a:t>
                    </a:r>
                    <a:endParaRPr lang="en-US"/>
                  </a:p>
                </c:rich>
              </c:tx>
              <c:showVal val="1"/>
            </c:dLbl>
            <c:dLbl>
              <c:idx val="4"/>
              <c:tx>
                <c:rich>
                  <a:bodyPr/>
                  <a:lstStyle/>
                  <a:p>
                    <a:r>
                      <a:rPr lang="en-US" sz="800"/>
                      <a:t>8</a:t>
                    </a:r>
                    <a:r>
                      <a:rPr lang="en-US"/>
                      <a:t>,6</a:t>
                    </a:r>
                    <a:r>
                      <a:rPr lang="pl-PL"/>
                      <a:t>%</a:t>
                    </a:r>
                    <a:endParaRPr lang="en-US"/>
                  </a:p>
                </c:rich>
              </c:tx>
              <c:showVal val="1"/>
            </c:dLbl>
            <c:txPr>
              <a:bodyPr/>
              <a:lstStyle/>
              <a:p>
                <a:pPr>
                  <a:defRPr sz="800"/>
                </a:pPr>
                <a:endParaRPr lang="pl-PL"/>
              </a:p>
            </c:txPr>
            <c:showVal val="1"/>
          </c:dLbls>
          <c:cat>
            <c:strRef>
              <c:f>DATA!$K$6:$O$6</c:f>
              <c:strCache>
                <c:ptCount val="5"/>
                <c:pt idx="0">
                  <c:v>15-34</c:v>
                </c:pt>
                <c:pt idx="1">
                  <c:v>15-19</c:v>
                </c:pt>
                <c:pt idx="2">
                  <c:v>20-24</c:v>
                </c:pt>
                <c:pt idx="3">
                  <c:v>25-29</c:v>
                </c:pt>
                <c:pt idx="4">
                  <c:v>30-34</c:v>
                </c:pt>
              </c:strCache>
            </c:strRef>
          </c:cat>
          <c:val>
            <c:numRef>
              <c:f>DATA!$K$7:$O$7</c:f>
              <c:numCache>
                <c:formatCode>0.0</c:formatCode>
                <c:ptCount val="5"/>
                <c:pt idx="0">
                  <c:v>29.443792587054578</c:v>
                </c:pt>
                <c:pt idx="1">
                  <c:v>5.6605161326050606</c:v>
                </c:pt>
                <c:pt idx="2">
                  <c:v>6.9924107647613969</c:v>
                </c:pt>
                <c:pt idx="3">
                  <c:v>8.1599854168541501</c:v>
                </c:pt>
                <c:pt idx="4">
                  <c:v>8.6308802728340446</c:v>
                </c:pt>
              </c:numCache>
            </c:numRef>
          </c:val>
        </c:ser>
        <c:ser>
          <c:idx val="1"/>
          <c:order val="1"/>
          <c:tx>
            <c:strRef>
              <c:f>DATA!$J$8</c:f>
              <c:strCache>
                <c:ptCount val="1"/>
                <c:pt idx="0">
                  <c:v>Mężczyźni</c:v>
                </c:pt>
              </c:strCache>
            </c:strRef>
          </c:tx>
          <c:dLbls>
            <c:dLbl>
              <c:idx val="0"/>
              <c:tx>
                <c:rich>
                  <a:bodyPr/>
                  <a:lstStyle/>
                  <a:p>
                    <a:r>
                      <a:rPr lang="en-US" sz="800"/>
                      <a:t>3</a:t>
                    </a:r>
                    <a:r>
                      <a:rPr lang="en-US"/>
                      <a:t>0,8</a:t>
                    </a:r>
                    <a:r>
                      <a:rPr lang="pl-PL"/>
                      <a:t>%</a:t>
                    </a:r>
                    <a:endParaRPr lang="en-US"/>
                  </a:p>
                </c:rich>
              </c:tx>
              <c:showVal val="1"/>
            </c:dLbl>
            <c:dLbl>
              <c:idx val="1"/>
              <c:tx>
                <c:rich>
                  <a:bodyPr/>
                  <a:lstStyle/>
                  <a:p>
                    <a:r>
                      <a:rPr lang="en-US" sz="800"/>
                      <a:t>6</a:t>
                    </a:r>
                    <a:r>
                      <a:rPr lang="en-US"/>
                      <a:t>,0</a:t>
                    </a:r>
                    <a:r>
                      <a:rPr lang="pl-PL"/>
                      <a:t>%</a:t>
                    </a:r>
                    <a:endParaRPr lang="en-US"/>
                  </a:p>
                </c:rich>
              </c:tx>
              <c:showVal val="1"/>
            </c:dLbl>
            <c:dLbl>
              <c:idx val="2"/>
              <c:tx>
                <c:rich>
                  <a:bodyPr/>
                  <a:lstStyle/>
                  <a:p>
                    <a:r>
                      <a:rPr lang="en-US" sz="800"/>
                      <a:t>7</a:t>
                    </a:r>
                    <a:r>
                      <a:rPr lang="en-US"/>
                      <a:t>,3</a:t>
                    </a:r>
                    <a:r>
                      <a:rPr lang="pl-PL"/>
                      <a:t>%</a:t>
                    </a:r>
                    <a:endParaRPr lang="en-US"/>
                  </a:p>
                </c:rich>
              </c:tx>
              <c:showVal val="1"/>
            </c:dLbl>
            <c:dLbl>
              <c:idx val="3"/>
              <c:tx>
                <c:rich>
                  <a:bodyPr/>
                  <a:lstStyle/>
                  <a:p>
                    <a:r>
                      <a:rPr lang="en-US" sz="800"/>
                      <a:t>8</a:t>
                    </a:r>
                    <a:r>
                      <a:rPr lang="en-US"/>
                      <a:t>,5</a:t>
                    </a:r>
                    <a:r>
                      <a:rPr lang="pl-PL"/>
                      <a:t>%</a:t>
                    </a:r>
                    <a:endParaRPr lang="en-US"/>
                  </a:p>
                </c:rich>
              </c:tx>
              <c:showVal val="1"/>
            </c:dLbl>
            <c:dLbl>
              <c:idx val="4"/>
              <c:tx>
                <c:rich>
                  <a:bodyPr/>
                  <a:lstStyle/>
                  <a:p>
                    <a:r>
                      <a:rPr lang="en-US" sz="800"/>
                      <a:t>9</a:t>
                    </a:r>
                    <a:r>
                      <a:rPr lang="en-US"/>
                      <a:t>,0</a:t>
                    </a:r>
                    <a:r>
                      <a:rPr lang="pl-PL"/>
                      <a:t>%</a:t>
                    </a:r>
                    <a:endParaRPr lang="en-US"/>
                  </a:p>
                </c:rich>
              </c:tx>
              <c:showVal val="1"/>
            </c:dLbl>
            <c:txPr>
              <a:bodyPr/>
              <a:lstStyle/>
              <a:p>
                <a:pPr>
                  <a:defRPr sz="800"/>
                </a:pPr>
                <a:endParaRPr lang="pl-PL"/>
              </a:p>
            </c:txPr>
            <c:showVal val="1"/>
          </c:dLbls>
          <c:cat>
            <c:strRef>
              <c:f>DATA!$K$6:$O$6</c:f>
              <c:strCache>
                <c:ptCount val="5"/>
                <c:pt idx="0">
                  <c:v>15-34</c:v>
                </c:pt>
                <c:pt idx="1">
                  <c:v>15-19</c:v>
                </c:pt>
                <c:pt idx="2">
                  <c:v>20-24</c:v>
                </c:pt>
                <c:pt idx="3">
                  <c:v>25-29</c:v>
                </c:pt>
                <c:pt idx="4">
                  <c:v>30-34</c:v>
                </c:pt>
              </c:strCache>
            </c:strRef>
          </c:cat>
          <c:val>
            <c:numRef>
              <c:f>DATA!$K$8:$O$8</c:f>
              <c:numCache>
                <c:formatCode>0.0</c:formatCode>
                <c:ptCount val="5"/>
                <c:pt idx="0">
                  <c:v>30.798319676554172</c:v>
                </c:pt>
                <c:pt idx="1">
                  <c:v>5.9721574864410734</c:v>
                </c:pt>
                <c:pt idx="2">
                  <c:v>7.3300670919659314</c:v>
                </c:pt>
                <c:pt idx="3">
                  <c:v>8.5045619453230685</c:v>
                </c:pt>
                <c:pt idx="4">
                  <c:v>8.9915331528243048</c:v>
                </c:pt>
              </c:numCache>
            </c:numRef>
          </c:val>
        </c:ser>
        <c:ser>
          <c:idx val="2"/>
          <c:order val="2"/>
          <c:tx>
            <c:strRef>
              <c:f>DATA!$J$9</c:f>
              <c:strCache>
                <c:ptCount val="1"/>
                <c:pt idx="0">
                  <c:v>Kobiety</c:v>
                </c:pt>
              </c:strCache>
            </c:strRef>
          </c:tx>
          <c:dLbls>
            <c:dLbl>
              <c:idx val="0"/>
              <c:tx>
                <c:rich>
                  <a:bodyPr/>
                  <a:lstStyle/>
                  <a:p>
                    <a:r>
                      <a:rPr lang="en-US" sz="800"/>
                      <a:t>2</a:t>
                    </a:r>
                    <a:r>
                      <a:rPr lang="en-US"/>
                      <a:t>8,2</a:t>
                    </a:r>
                    <a:r>
                      <a:rPr lang="pl-PL"/>
                      <a:t>%</a:t>
                    </a:r>
                    <a:endParaRPr lang="en-US"/>
                  </a:p>
                </c:rich>
              </c:tx>
              <c:showVal val="1"/>
            </c:dLbl>
            <c:dLbl>
              <c:idx val="1"/>
              <c:tx>
                <c:rich>
                  <a:bodyPr/>
                  <a:lstStyle/>
                  <a:p>
                    <a:r>
                      <a:rPr lang="en-US" sz="800"/>
                      <a:t>5</a:t>
                    </a:r>
                    <a:r>
                      <a:rPr lang="en-US"/>
                      <a:t>,4</a:t>
                    </a:r>
                    <a:r>
                      <a:rPr lang="pl-PL"/>
                      <a:t>%</a:t>
                    </a:r>
                    <a:endParaRPr lang="en-US"/>
                  </a:p>
                </c:rich>
              </c:tx>
              <c:showVal val="1"/>
            </c:dLbl>
            <c:dLbl>
              <c:idx val="2"/>
              <c:tx>
                <c:rich>
                  <a:bodyPr/>
                  <a:lstStyle/>
                  <a:p>
                    <a:r>
                      <a:rPr lang="en-US" sz="800"/>
                      <a:t>6</a:t>
                    </a:r>
                    <a:r>
                      <a:rPr lang="en-US"/>
                      <a:t>,7</a:t>
                    </a:r>
                    <a:r>
                      <a:rPr lang="pl-PL"/>
                      <a:t>%</a:t>
                    </a:r>
                    <a:endParaRPr lang="en-US"/>
                  </a:p>
                </c:rich>
              </c:tx>
              <c:showVal val="1"/>
            </c:dLbl>
            <c:dLbl>
              <c:idx val="3"/>
              <c:tx>
                <c:rich>
                  <a:bodyPr/>
                  <a:lstStyle/>
                  <a:p>
                    <a:r>
                      <a:rPr lang="en-US" sz="800"/>
                      <a:t>7</a:t>
                    </a:r>
                    <a:r>
                      <a:rPr lang="en-US"/>
                      <a:t>,8</a:t>
                    </a:r>
                    <a:r>
                      <a:rPr lang="pl-PL"/>
                      <a:t>%</a:t>
                    </a:r>
                    <a:endParaRPr lang="en-US"/>
                  </a:p>
                </c:rich>
              </c:tx>
              <c:showVal val="1"/>
            </c:dLbl>
            <c:dLbl>
              <c:idx val="4"/>
              <c:tx>
                <c:rich>
                  <a:bodyPr/>
                  <a:lstStyle/>
                  <a:p>
                    <a:r>
                      <a:rPr lang="en-US" sz="800"/>
                      <a:t>8</a:t>
                    </a:r>
                    <a:r>
                      <a:rPr lang="en-US"/>
                      <a:t>,3</a:t>
                    </a:r>
                    <a:r>
                      <a:rPr lang="pl-PL"/>
                      <a:t>%</a:t>
                    </a:r>
                    <a:endParaRPr lang="en-US"/>
                  </a:p>
                </c:rich>
              </c:tx>
              <c:showVal val="1"/>
            </c:dLbl>
            <c:txPr>
              <a:bodyPr/>
              <a:lstStyle/>
              <a:p>
                <a:pPr>
                  <a:defRPr sz="800"/>
                </a:pPr>
                <a:endParaRPr lang="pl-PL"/>
              </a:p>
            </c:txPr>
            <c:showVal val="1"/>
          </c:dLbls>
          <c:cat>
            <c:strRef>
              <c:f>DATA!$K$6:$O$6</c:f>
              <c:strCache>
                <c:ptCount val="5"/>
                <c:pt idx="0">
                  <c:v>15-34</c:v>
                </c:pt>
                <c:pt idx="1">
                  <c:v>15-19</c:v>
                </c:pt>
                <c:pt idx="2">
                  <c:v>20-24</c:v>
                </c:pt>
                <c:pt idx="3">
                  <c:v>25-29</c:v>
                </c:pt>
                <c:pt idx="4">
                  <c:v>30-34</c:v>
                </c:pt>
              </c:strCache>
            </c:strRef>
          </c:cat>
          <c:val>
            <c:numRef>
              <c:f>DATA!$K$9:$O$9</c:f>
              <c:numCache>
                <c:formatCode>0.0</c:formatCode>
                <c:ptCount val="5"/>
                <c:pt idx="0">
                  <c:v>28.161022174749526</c:v>
                </c:pt>
                <c:pt idx="1">
                  <c:v>5.3653841185977544</c:v>
                </c:pt>
                <c:pt idx="2">
                  <c:v>6.6726419322121924</c:v>
                </c:pt>
                <c:pt idx="3">
                  <c:v>7.8336629837915837</c:v>
                </c:pt>
                <c:pt idx="4">
                  <c:v>8.2893331401480559</c:v>
                </c:pt>
              </c:numCache>
            </c:numRef>
          </c:val>
        </c:ser>
        <c:dLbls/>
        <c:gapWidth val="100"/>
        <c:axId val="100578432"/>
        <c:axId val="100579968"/>
      </c:barChart>
      <c:catAx>
        <c:axId val="100578432"/>
        <c:scaling>
          <c:orientation val="minMax"/>
        </c:scaling>
        <c:axPos val="b"/>
        <c:tickLblPos val="nextTo"/>
        <c:txPr>
          <a:bodyPr/>
          <a:lstStyle/>
          <a:p>
            <a:pPr>
              <a:defRPr sz="800"/>
            </a:pPr>
            <a:endParaRPr lang="pl-PL"/>
          </a:p>
        </c:txPr>
        <c:crossAx val="100579968"/>
        <c:crosses val="autoZero"/>
        <c:auto val="1"/>
        <c:lblAlgn val="ctr"/>
        <c:lblOffset val="100"/>
      </c:catAx>
      <c:valAx>
        <c:axId val="100579968"/>
        <c:scaling>
          <c:orientation val="minMax"/>
          <c:max val="35"/>
          <c:min val="0"/>
        </c:scaling>
        <c:axPos val="l"/>
        <c:numFmt formatCode="0" sourceLinked="0"/>
        <c:tickLblPos val="nextTo"/>
        <c:crossAx val="100578432"/>
        <c:crosses val="autoZero"/>
        <c:crossBetween val="between"/>
      </c:valAx>
    </c:plotArea>
    <c:legend>
      <c:legendPos val="b"/>
      <c:txPr>
        <a:bodyPr/>
        <a:lstStyle/>
        <a:p>
          <a:pPr>
            <a:defRPr sz="800"/>
          </a:pPr>
          <a:endParaRPr lang="pl-PL"/>
        </a:p>
      </c:txPr>
    </c:legend>
    <c:plotVisOnly val="1"/>
    <c:dispBlanksAs val="gap"/>
  </c:chart>
  <c:spPr>
    <a:ln w="12700"/>
  </c:spPr>
  <c:txPr>
    <a:bodyPr/>
    <a:lstStyle/>
    <a:p>
      <a:pPr>
        <a:defRPr baseline="0">
          <a:latin typeface="Arial" pitchFamily="34" charset="0"/>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plotArea>
      <c:layout/>
      <c:barChart>
        <c:barDir val="bar"/>
        <c:grouping val="clustered"/>
        <c:ser>
          <c:idx val="0"/>
          <c:order val="0"/>
          <c:tx>
            <c:strRef>
              <c:f>Arkusz9!$E$2</c:f>
              <c:strCache>
                <c:ptCount val="1"/>
                <c:pt idx="0">
                  <c:v>TAK</c:v>
                </c:pt>
              </c:strCache>
            </c:strRef>
          </c:tx>
          <c:dLbls>
            <c:dLbl>
              <c:idx val="0"/>
              <c:tx>
                <c:rich>
                  <a:bodyPr/>
                  <a:lstStyle/>
                  <a:p>
                    <a:r>
                      <a:rPr lang="pl-PL" sz="800" b="1" smtClean="0"/>
                      <a:t>7</a:t>
                    </a:r>
                    <a:r>
                      <a:rPr lang="pl-PL" smtClean="0"/>
                      <a:t>1%</a:t>
                    </a:r>
                    <a:endParaRPr lang="en-US" dirty="0"/>
                  </a:p>
                </c:rich>
              </c:tx>
              <c:showVal val="1"/>
            </c:dLbl>
            <c:dLbl>
              <c:idx val="1"/>
              <c:tx>
                <c:rich>
                  <a:bodyPr/>
                  <a:lstStyle/>
                  <a:p>
                    <a:r>
                      <a:rPr lang="pl-PL" sz="800" b="1" smtClean="0"/>
                      <a:t>4</a:t>
                    </a:r>
                    <a:r>
                      <a:rPr lang="pl-PL" smtClean="0"/>
                      <a:t>1%</a:t>
                    </a:r>
                    <a:endParaRPr lang="en-US" dirty="0"/>
                  </a:p>
                </c:rich>
              </c:tx>
              <c:showVal val="1"/>
            </c:dLbl>
            <c:dLbl>
              <c:idx val="2"/>
              <c:tx>
                <c:rich>
                  <a:bodyPr/>
                  <a:lstStyle/>
                  <a:p>
                    <a:r>
                      <a:rPr lang="pl-PL" sz="800" b="1" smtClean="0"/>
                      <a:t>2</a:t>
                    </a:r>
                    <a:r>
                      <a:rPr lang="en-US" smtClean="0"/>
                      <a:t>3</a:t>
                    </a:r>
                    <a:r>
                      <a:rPr lang="pl-PL" smtClean="0"/>
                      <a:t>%</a:t>
                    </a:r>
                    <a:endParaRPr lang="en-US" dirty="0"/>
                  </a:p>
                </c:rich>
              </c:tx>
              <c:showVal val="1"/>
            </c:dLbl>
            <c:dLbl>
              <c:idx val="3"/>
              <c:tx>
                <c:rich>
                  <a:bodyPr/>
                  <a:lstStyle/>
                  <a:p>
                    <a:r>
                      <a:rPr lang="pl-PL" sz="800" b="1" smtClean="0"/>
                      <a:t>4</a:t>
                    </a:r>
                    <a:r>
                      <a:rPr lang="pl-PL" smtClean="0"/>
                      <a:t>6%</a:t>
                    </a:r>
                    <a:endParaRPr lang="en-US" dirty="0"/>
                  </a:p>
                </c:rich>
              </c:tx>
              <c:showVal val="1"/>
            </c:dLbl>
            <c:dLbl>
              <c:idx val="4"/>
              <c:tx>
                <c:rich>
                  <a:bodyPr/>
                  <a:lstStyle/>
                  <a:p>
                    <a:r>
                      <a:rPr lang="pl-PL" sz="800" b="1" smtClean="0"/>
                      <a:t>1</a:t>
                    </a:r>
                    <a:r>
                      <a:rPr lang="pl-PL" smtClean="0"/>
                      <a:t>9%</a:t>
                    </a:r>
                    <a:endParaRPr lang="en-US" dirty="0"/>
                  </a:p>
                </c:rich>
              </c:tx>
              <c:showVal val="1"/>
            </c:dLbl>
            <c:dLbl>
              <c:idx val="5"/>
              <c:tx>
                <c:rich>
                  <a:bodyPr/>
                  <a:lstStyle/>
                  <a:p>
                    <a:r>
                      <a:rPr lang="pl-PL" sz="800" b="1" smtClean="0"/>
                      <a:t>3</a:t>
                    </a:r>
                    <a:r>
                      <a:rPr lang="pl-PL" smtClean="0"/>
                      <a:t>0%</a:t>
                    </a:r>
                    <a:endParaRPr lang="en-US" dirty="0"/>
                  </a:p>
                </c:rich>
              </c:tx>
              <c:showVal val="1"/>
            </c:dLbl>
            <c:dLbl>
              <c:idx val="6"/>
              <c:tx>
                <c:rich>
                  <a:bodyPr/>
                  <a:lstStyle/>
                  <a:p>
                    <a:r>
                      <a:rPr lang="pl-PL" sz="800" b="1" smtClean="0"/>
                      <a:t>5</a:t>
                    </a:r>
                    <a:r>
                      <a:rPr lang="pl-PL" smtClean="0"/>
                      <a:t>1%</a:t>
                    </a:r>
                    <a:endParaRPr lang="en-US" dirty="0"/>
                  </a:p>
                </c:rich>
              </c:tx>
              <c:showVal val="1"/>
            </c:dLbl>
            <c:dLbl>
              <c:idx val="7"/>
              <c:tx>
                <c:rich>
                  <a:bodyPr/>
                  <a:lstStyle/>
                  <a:p>
                    <a:r>
                      <a:rPr lang="pl-PL" sz="800" b="1" smtClean="0"/>
                      <a:t>4</a:t>
                    </a:r>
                    <a:r>
                      <a:rPr lang="pl-PL" smtClean="0"/>
                      <a:t>8%</a:t>
                    </a:r>
                    <a:endParaRPr lang="en-US" dirty="0"/>
                  </a:p>
                </c:rich>
              </c:tx>
              <c:showVal val="1"/>
            </c:dLbl>
            <c:dLbl>
              <c:idx val="8"/>
              <c:tx>
                <c:rich>
                  <a:bodyPr/>
                  <a:lstStyle/>
                  <a:p>
                    <a:r>
                      <a:rPr lang="pl-PL" sz="800" b="1" smtClean="0"/>
                      <a:t>6</a:t>
                    </a:r>
                    <a:r>
                      <a:rPr lang="en-US" smtClean="0"/>
                      <a:t>1</a:t>
                    </a:r>
                    <a:r>
                      <a:rPr lang="pl-PL" smtClean="0"/>
                      <a:t>%</a:t>
                    </a:r>
                    <a:endParaRPr lang="en-US"/>
                  </a:p>
                </c:rich>
              </c:tx>
              <c:showVal val="1"/>
            </c:dLbl>
            <c:dLbl>
              <c:idx val="9"/>
              <c:tx>
                <c:rich>
                  <a:bodyPr/>
                  <a:lstStyle/>
                  <a:p>
                    <a:r>
                      <a:rPr lang="pl-PL" sz="800" b="1" smtClean="0"/>
                      <a:t>1</a:t>
                    </a:r>
                    <a:r>
                      <a:rPr lang="pl-PL" smtClean="0"/>
                      <a:t>6%</a:t>
                    </a:r>
                    <a:endParaRPr lang="en-US"/>
                  </a:p>
                </c:rich>
              </c:tx>
              <c:showVal val="1"/>
            </c:dLbl>
            <c:txPr>
              <a:bodyPr/>
              <a:lstStyle/>
              <a:p>
                <a:pPr>
                  <a:defRPr sz="800" b="1"/>
                </a:pPr>
                <a:endParaRPr lang="pl-PL"/>
              </a:p>
            </c:txPr>
            <c:showVal val="1"/>
          </c:dLbls>
          <c:cat>
            <c:strRef>
              <c:f>Arkusz9!$F$1:$O$1</c:f>
              <c:strCache>
                <c:ptCount val="10"/>
                <c:pt idx="0">
                  <c:v>szkolenie zawodowe</c:v>
                </c:pt>
                <c:pt idx="1">
                  <c:v>podjęcie edukacji</c:v>
                </c:pt>
                <c:pt idx="2">
                  <c:v>działalność gospodarcza</c:v>
                </c:pt>
                <c:pt idx="3">
                  <c:v>praca poza miejscem zamieszkania</c:v>
                </c:pt>
                <c:pt idx="4">
                  <c:v>zmiana miejsca zamieszkania</c:v>
                </c:pt>
                <c:pt idx="5">
                  <c:v>wyjazd za granicę</c:v>
                </c:pt>
                <c:pt idx="6">
                  <c:v>umowa zlecenie</c:v>
                </c:pt>
                <c:pt idx="7">
                  <c:v>praca za płacę minimalną</c:v>
                </c:pt>
                <c:pt idx="8">
                  <c:v>praca niezgodna z wykształceniem</c:v>
                </c:pt>
                <c:pt idx="9">
                  <c:v>praca bez umowy o pracę</c:v>
                </c:pt>
              </c:strCache>
            </c:strRef>
          </c:cat>
          <c:val>
            <c:numRef>
              <c:f>Arkusz9!$F$2:$O$2</c:f>
              <c:numCache>
                <c:formatCode>General</c:formatCode>
                <c:ptCount val="10"/>
                <c:pt idx="0">
                  <c:v>2007</c:v>
                </c:pt>
                <c:pt idx="1">
                  <c:v>1146</c:v>
                </c:pt>
                <c:pt idx="2">
                  <c:v>653</c:v>
                </c:pt>
                <c:pt idx="3">
                  <c:v>1287</c:v>
                </c:pt>
                <c:pt idx="4">
                  <c:v>537</c:v>
                </c:pt>
                <c:pt idx="5">
                  <c:v>858</c:v>
                </c:pt>
                <c:pt idx="6">
                  <c:v>1438</c:v>
                </c:pt>
                <c:pt idx="7">
                  <c:v>1357</c:v>
                </c:pt>
                <c:pt idx="8">
                  <c:v>1720</c:v>
                </c:pt>
                <c:pt idx="9">
                  <c:v>439</c:v>
                </c:pt>
              </c:numCache>
            </c:numRef>
          </c:val>
        </c:ser>
        <c:ser>
          <c:idx val="1"/>
          <c:order val="1"/>
          <c:tx>
            <c:strRef>
              <c:f>Arkusz9!$E$3</c:f>
              <c:strCache>
                <c:ptCount val="1"/>
                <c:pt idx="0">
                  <c:v>NIE</c:v>
                </c:pt>
              </c:strCache>
            </c:strRef>
          </c:tx>
          <c:dLbls>
            <c:dLbl>
              <c:idx val="0"/>
              <c:tx>
                <c:rich>
                  <a:bodyPr/>
                  <a:lstStyle/>
                  <a:p>
                    <a:r>
                      <a:rPr lang="pl-PL" sz="800" b="1" smtClean="0"/>
                      <a:t>1</a:t>
                    </a:r>
                    <a:r>
                      <a:rPr lang="pl-PL" smtClean="0"/>
                      <a:t>7%</a:t>
                    </a:r>
                    <a:endParaRPr lang="en-US"/>
                  </a:p>
                </c:rich>
              </c:tx>
              <c:showVal val="1"/>
            </c:dLbl>
            <c:dLbl>
              <c:idx val="1"/>
              <c:tx>
                <c:rich>
                  <a:bodyPr/>
                  <a:lstStyle/>
                  <a:p>
                    <a:r>
                      <a:rPr lang="pl-PL" sz="800" b="1" smtClean="0"/>
                      <a:t>4</a:t>
                    </a:r>
                    <a:r>
                      <a:rPr lang="pl-PL" smtClean="0"/>
                      <a:t>2%</a:t>
                    </a:r>
                    <a:endParaRPr lang="en-US"/>
                  </a:p>
                </c:rich>
              </c:tx>
              <c:showVal val="1"/>
            </c:dLbl>
            <c:dLbl>
              <c:idx val="2"/>
              <c:tx>
                <c:rich>
                  <a:bodyPr/>
                  <a:lstStyle/>
                  <a:p>
                    <a:r>
                      <a:rPr lang="pl-PL" sz="800" b="1" smtClean="0"/>
                      <a:t>5</a:t>
                    </a:r>
                    <a:r>
                      <a:rPr lang="pl-PL" smtClean="0"/>
                      <a:t>3%</a:t>
                    </a:r>
                    <a:endParaRPr lang="en-US"/>
                  </a:p>
                </c:rich>
              </c:tx>
              <c:showVal val="1"/>
            </c:dLbl>
            <c:dLbl>
              <c:idx val="3"/>
              <c:tx>
                <c:rich>
                  <a:bodyPr/>
                  <a:lstStyle/>
                  <a:p>
                    <a:r>
                      <a:rPr lang="pl-PL" sz="800" b="1" smtClean="0"/>
                      <a:t>3</a:t>
                    </a:r>
                    <a:r>
                      <a:rPr lang="pl-PL" smtClean="0"/>
                      <a:t>4%</a:t>
                    </a:r>
                    <a:endParaRPr lang="en-US"/>
                  </a:p>
                </c:rich>
              </c:tx>
              <c:showVal val="1"/>
            </c:dLbl>
            <c:dLbl>
              <c:idx val="4"/>
              <c:tx>
                <c:rich>
                  <a:bodyPr/>
                  <a:lstStyle/>
                  <a:p>
                    <a:r>
                      <a:rPr lang="pl-PL" sz="800" b="1" smtClean="0"/>
                      <a:t>6</a:t>
                    </a:r>
                    <a:r>
                      <a:rPr lang="pl-PL" smtClean="0"/>
                      <a:t>1%</a:t>
                    </a:r>
                    <a:endParaRPr lang="en-US"/>
                  </a:p>
                </c:rich>
              </c:tx>
              <c:showVal val="1"/>
            </c:dLbl>
            <c:dLbl>
              <c:idx val="5"/>
              <c:tx>
                <c:rich>
                  <a:bodyPr/>
                  <a:lstStyle/>
                  <a:p>
                    <a:r>
                      <a:rPr lang="pl-PL" sz="800" b="1" smtClean="0"/>
                      <a:t>5</a:t>
                    </a:r>
                    <a:r>
                      <a:rPr lang="en-US" smtClean="0"/>
                      <a:t>1</a:t>
                    </a:r>
                    <a:r>
                      <a:rPr lang="pl-PL" smtClean="0"/>
                      <a:t>%</a:t>
                    </a:r>
                    <a:endParaRPr lang="en-US"/>
                  </a:p>
                </c:rich>
              </c:tx>
              <c:showVal val="1"/>
            </c:dLbl>
            <c:dLbl>
              <c:idx val="6"/>
              <c:tx>
                <c:rich>
                  <a:bodyPr/>
                  <a:lstStyle/>
                  <a:p>
                    <a:r>
                      <a:rPr lang="pl-PL" sz="800" b="1" smtClean="0"/>
                      <a:t>3</a:t>
                    </a:r>
                    <a:r>
                      <a:rPr lang="pl-PL" smtClean="0"/>
                      <a:t>1%</a:t>
                    </a:r>
                    <a:endParaRPr lang="en-US"/>
                  </a:p>
                </c:rich>
              </c:tx>
              <c:showVal val="1"/>
            </c:dLbl>
            <c:dLbl>
              <c:idx val="7"/>
              <c:tx>
                <c:rich>
                  <a:bodyPr/>
                  <a:lstStyle/>
                  <a:p>
                    <a:r>
                      <a:rPr lang="pl-PL" sz="800" b="1" smtClean="0"/>
                      <a:t>3</a:t>
                    </a:r>
                    <a:r>
                      <a:rPr lang="pl-PL" smtClean="0"/>
                      <a:t>3%</a:t>
                    </a:r>
                    <a:endParaRPr lang="en-US"/>
                  </a:p>
                </c:rich>
              </c:tx>
              <c:showVal val="1"/>
            </c:dLbl>
            <c:dLbl>
              <c:idx val="8"/>
              <c:tx>
                <c:rich>
                  <a:bodyPr/>
                  <a:lstStyle/>
                  <a:p>
                    <a:r>
                      <a:rPr lang="pl-PL" sz="800" b="1" smtClean="0"/>
                      <a:t>2</a:t>
                    </a:r>
                    <a:r>
                      <a:rPr lang="pl-PL" smtClean="0"/>
                      <a:t>2%</a:t>
                    </a:r>
                    <a:endParaRPr lang="en-US"/>
                  </a:p>
                </c:rich>
              </c:tx>
              <c:showVal val="1"/>
            </c:dLbl>
            <c:dLbl>
              <c:idx val="9"/>
              <c:tx>
                <c:rich>
                  <a:bodyPr/>
                  <a:lstStyle/>
                  <a:p>
                    <a:r>
                      <a:rPr lang="pl-PL" sz="800" b="1" smtClean="0"/>
                      <a:t>6</a:t>
                    </a:r>
                    <a:r>
                      <a:rPr lang="pl-PL" smtClean="0"/>
                      <a:t>6%</a:t>
                    </a:r>
                    <a:endParaRPr lang="en-US"/>
                  </a:p>
                </c:rich>
              </c:tx>
              <c:showVal val="1"/>
            </c:dLbl>
            <c:txPr>
              <a:bodyPr/>
              <a:lstStyle/>
              <a:p>
                <a:pPr>
                  <a:defRPr sz="800" b="1"/>
                </a:pPr>
                <a:endParaRPr lang="pl-PL"/>
              </a:p>
            </c:txPr>
            <c:showVal val="1"/>
          </c:dLbls>
          <c:cat>
            <c:strRef>
              <c:f>Arkusz9!$F$1:$O$1</c:f>
              <c:strCache>
                <c:ptCount val="10"/>
                <c:pt idx="0">
                  <c:v>szkolenie zawodowe</c:v>
                </c:pt>
                <c:pt idx="1">
                  <c:v>podjęcie edukacji</c:v>
                </c:pt>
                <c:pt idx="2">
                  <c:v>działalność gospodarcza</c:v>
                </c:pt>
                <c:pt idx="3">
                  <c:v>praca poza miejscem zamieszkania</c:v>
                </c:pt>
                <c:pt idx="4">
                  <c:v>zmiana miejsca zamieszkania</c:v>
                </c:pt>
                <c:pt idx="5">
                  <c:v>wyjazd za granicę</c:v>
                </c:pt>
                <c:pt idx="6">
                  <c:v>umowa zlecenie</c:v>
                </c:pt>
                <c:pt idx="7">
                  <c:v>praca za płacę minimalną</c:v>
                </c:pt>
                <c:pt idx="8">
                  <c:v>praca niezgodna z wykształceniem</c:v>
                </c:pt>
                <c:pt idx="9">
                  <c:v>praca bez umowy o pracę</c:v>
                </c:pt>
              </c:strCache>
            </c:strRef>
          </c:cat>
          <c:val>
            <c:numRef>
              <c:f>Arkusz9!$F$3:$O$3</c:f>
              <c:numCache>
                <c:formatCode>General</c:formatCode>
                <c:ptCount val="10"/>
                <c:pt idx="0">
                  <c:v>465</c:v>
                </c:pt>
                <c:pt idx="1">
                  <c:v>1178</c:v>
                </c:pt>
                <c:pt idx="2">
                  <c:v>1491</c:v>
                </c:pt>
                <c:pt idx="3">
                  <c:v>963</c:v>
                </c:pt>
                <c:pt idx="4">
                  <c:v>1735</c:v>
                </c:pt>
                <c:pt idx="5">
                  <c:v>1431</c:v>
                </c:pt>
                <c:pt idx="6">
                  <c:v>887</c:v>
                </c:pt>
                <c:pt idx="7">
                  <c:v>926</c:v>
                </c:pt>
                <c:pt idx="8">
                  <c:v>609</c:v>
                </c:pt>
                <c:pt idx="9">
                  <c:v>1849</c:v>
                </c:pt>
              </c:numCache>
            </c:numRef>
          </c:val>
        </c:ser>
        <c:ser>
          <c:idx val="2"/>
          <c:order val="2"/>
          <c:tx>
            <c:strRef>
              <c:f>Arkusz9!$E$4</c:f>
              <c:strCache>
                <c:ptCount val="1"/>
                <c:pt idx="0">
                  <c:v>TRUDNO POWIEDZIEĆ</c:v>
                </c:pt>
              </c:strCache>
            </c:strRef>
          </c:tx>
          <c:dLbls>
            <c:dLbl>
              <c:idx val="0"/>
              <c:tx>
                <c:rich>
                  <a:bodyPr/>
                  <a:lstStyle/>
                  <a:p>
                    <a:r>
                      <a:rPr lang="pl-PL" sz="800" b="1" smtClean="0"/>
                      <a:t>1</a:t>
                    </a:r>
                    <a:r>
                      <a:rPr lang="en-US" smtClean="0"/>
                      <a:t>3</a:t>
                    </a:r>
                    <a:r>
                      <a:rPr lang="pl-PL" smtClean="0"/>
                      <a:t>%</a:t>
                    </a:r>
                    <a:endParaRPr lang="en-US"/>
                  </a:p>
                </c:rich>
              </c:tx>
              <c:showVal val="1"/>
            </c:dLbl>
            <c:dLbl>
              <c:idx val="1"/>
              <c:tx>
                <c:rich>
                  <a:bodyPr/>
                  <a:lstStyle/>
                  <a:p>
                    <a:r>
                      <a:rPr lang="pl-PL" sz="800" b="1" smtClean="0"/>
                      <a:t>1</a:t>
                    </a:r>
                    <a:r>
                      <a:rPr lang="pl-PL" smtClean="0"/>
                      <a:t>8%</a:t>
                    </a:r>
                    <a:endParaRPr lang="en-US"/>
                  </a:p>
                </c:rich>
              </c:tx>
              <c:showVal val="1"/>
            </c:dLbl>
            <c:dLbl>
              <c:idx val="2"/>
              <c:tx>
                <c:rich>
                  <a:bodyPr/>
                  <a:lstStyle/>
                  <a:p>
                    <a:r>
                      <a:rPr lang="pl-PL" sz="800" b="1" smtClean="0"/>
                      <a:t>2</a:t>
                    </a:r>
                    <a:r>
                      <a:rPr lang="pl-PL" smtClean="0"/>
                      <a:t>4%</a:t>
                    </a:r>
                    <a:endParaRPr lang="en-US"/>
                  </a:p>
                </c:rich>
              </c:tx>
              <c:showVal val="1"/>
            </c:dLbl>
            <c:dLbl>
              <c:idx val="3"/>
              <c:tx>
                <c:rich>
                  <a:bodyPr/>
                  <a:lstStyle/>
                  <a:p>
                    <a:r>
                      <a:rPr lang="pl-PL" sz="800" b="1" smtClean="0"/>
                      <a:t>2</a:t>
                    </a:r>
                    <a:r>
                      <a:rPr lang="pl-PL" smtClean="0"/>
                      <a:t>0%</a:t>
                    </a:r>
                    <a:endParaRPr lang="en-US"/>
                  </a:p>
                </c:rich>
              </c:tx>
              <c:showVal val="1"/>
            </c:dLbl>
            <c:dLbl>
              <c:idx val="4"/>
              <c:tx>
                <c:rich>
                  <a:bodyPr/>
                  <a:lstStyle/>
                  <a:p>
                    <a:r>
                      <a:rPr lang="pl-PL" sz="800" b="1" smtClean="0"/>
                      <a:t>2</a:t>
                    </a:r>
                    <a:r>
                      <a:rPr lang="pl-PL" smtClean="0"/>
                      <a:t>0%</a:t>
                    </a:r>
                    <a:endParaRPr lang="en-US"/>
                  </a:p>
                </c:rich>
              </c:tx>
              <c:showVal val="1"/>
            </c:dLbl>
            <c:dLbl>
              <c:idx val="5"/>
              <c:tx>
                <c:rich>
                  <a:bodyPr/>
                  <a:lstStyle/>
                  <a:p>
                    <a:r>
                      <a:rPr lang="pl-PL" sz="800" b="1" smtClean="0"/>
                      <a:t>1</a:t>
                    </a:r>
                    <a:r>
                      <a:rPr lang="pl-PL" smtClean="0"/>
                      <a:t>9%</a:t>
                    </a:r>
                    <a:endParaRPr lang="en-US"/>
                  </a:p>
                </c:rich>
              </c:tx>
              <c:showVal val="1"/>
            </c:dLbl>
            <c:dLbl>
              <c:idx val="6"/>
              <c:tx>
                <c:rich>
                  <a:bodyPr/>
                  <a:lstStyle/>
                  <a:p>
                    <a:r>
                      <a:rPr lang="pl-PL" sz="800" b="1" smtClean="0"/>
                      <a:t>1</a:t>
                    </a:r>
                    <a:r>
                      <a:rPr lang="pl-PL" smtClean="0"/>
                      <a:t>8%</a:t>
                    </a:r>
                    <a:endParaRPr lang="en-US"/>
                  </a:p>
                </c:rich>
              </c:tx>
              <c:showVal val="1"/>
            </c:dLbl>
            <c:dLbl>
              <c:idx val="7"/>
              <c:tx>
                <c:rich>
                  <a:bodyPr/>
                  <a:lstStyle/>
                  <a:p>
                    <a:r>
                      <a:rPr lang="pl-PL" sz="800" b="1" smtClean="0"/>
                      <a:t>1</a:t>
                    </a:r>
                    <a:r>
                      <a:rPr lang="pl-PL" smtClean="0"/>
                      <a:t>9%</a:t>
                    </a:r>
                    <a:endParaRPr lang="en-US"/>
                  </a:p>
                </c:rich>
              </c:tx>
              <c:showVal val="1"/>
            </c:dLbl>
            <c:dLbl>
              <c:idx val="8"/>
              <c:tx>
                <c:rich>
                  <a:bodyPr/>
                  <a:lstStyle/>
                  <a:p>
                    <a:r>
                      <a:rPr lang="pl-PL" sz="800" b="1" smtClean="0"/>
                      <a:t>1</a:t>
                    </a:r>
                    <a:r>
                      <a:rPr lang="pl-PL" smtClean="0"/>
                      <a:t>8%</a:t>
                    </a:r>
                    <a:endParaRPr lang="en-US"/>
                  </a:p>
                </c:rich>
              </c:tx>
              <c:showVal val="1"/>
            </c:dLbl>
            <c:dLbl>
              <c:idx val="9"/>
              <c:tx>
                <c:rich>
                  <a:bodyPr/>
                  <a:lstStyle/>
                  <a:p>
                    <a:r>
                      <a:rPr lang="pl-PL" sz="800" b="1" smtClean="0"/>
                      <a:t>1</a:t>
                    </a:r>
                    <a:r>
                      <a:rPr lang="pl-PL" smtClean="0"/>
                      <a:t>9%</a:t>
                    </a:r>
                    <a:endParaRPr lang="en-US"/>
                  </a:p>
                </c:rich>
              </c:tx>
              <c:showVal val="1"/>
            </c:dLbl>
            <c:txPr>
              <a:bodyPr/>
              <a:lstStyle/>
              <a:p>
                <a:pPr>
                  <a:defRPr sz="800" b="1"/>
                </a:pPr>
                <a:endParaRPr lang="pl-PL"/>
              </a:p>
            </c:txPr>
            <c:showVal val="1"/>
          </c:dLbls>
          <c:cat>
            <c:strRef>
              <c:f>Arkusz9!$F$1:$O$1</c:f>
              <c:strCache>
                <c:ptCount val="10"/>
                <c:pt idx="0">
                  <c:v>szkolenie zawodowe</c:v>
                </c:pt>
                <c:pt idx="1">
                  <c:v>podjęcie edukacji</c:v>
                </c:pt>
                <c:pt idx="2">
                  <c:v>działalność gospodarcza</c:v>
                </c:pt>
                <c:pt idx="3">
                  <c:v>praca poza miejscem zamieszkania</c:v>
                </c:pt>
                <c:pt idx="4">
                  <c:v>zmiana miejsca zamieszkania</c:v>
                </c:pt>
                <c:pt idx="5">
                  <c:v>wyjazd za granicę</c:v>
                </c:pt>
                <c:pt idx="6">
                  <c:v>umowa zlecenie</c:v>
                </c:pt>
                <c:pt idx="7">
                  <c:v>praca za płacę minimalną</c:v>
                </c:pt>
                <c:pt idx="8">
                  <c:v>praca niezgodna z wykształceniem</c:v>
                </c:pt>
                <c:pt idx="9">
                  <c:v>praca bez umowy o pracę</c:v>
                </c:pt>
              </c:strCache>
            </c:strRef>
          </c:cat>
          <c:val>
            <c:numRef>
              <c:f>Arkusz9!$F$4:$O$4</c:f>
              <c:numCache>
                <c:formatCode>General</c:formatCode>
                <c:ptCount val="10"/>
                <c:pt idx="0">
                  <c:v>353</c:v>
                </c:pt>
                <c:pt idx="1">
                  <c:v>501</c:v>
                </c:pt>
                <c:pt idx="2">
                  <c:v>681</c:v>
                </c:pt>
                <c:pt idx="3">
                  <c:v>575</c:v>
                </c:pt>
                <c:pt idx="4">
                  <c:v>553</c:v>
                </c:pt>
                <c:pt idx="5">
                  <c:v>536</c:v>
                </c:pt>
                <c:pt idx="6">
                  <c:v>500</c:v>
                </c:pt>
                <c:pt idx="7">
                  <c:v>542</c:v>
                </c:pt>
                <c:pt idx="8">
                  <c:v>496</c:v>
                </c:pt>
                <c:pt idx="9">
                  <c:v>537</c:v>
                </c:pt>
              </c:numCache>
            </c:numRef>
          </c:val>
        </c:ser>
        <c:dLbls/>
        <c:axId val="101545856"/>
        <c:axId val="101547392"/>
      </c:barChart>
      <c:catAx>
        <c:axId val="101545856"/>
        <c:scaling>
          <c:orientation val="maxMin"/>
        </c:scaling>
        <c:axPos val="l"/>
        <c:tickLblPos val="nextTo"/>
        <c:crossAx val="101547392"/>
        <c:crosses val="autoZero"/>
        <c:auto val="1"/>
        <c:lblAlgn val="ctr"/>
        <c:lblOffset val="100"/>
      </c:catAx>
      <c:valAx>
        <c:axId val="101547392"/>
        <c:scaling>
          <c:orientation val="minMax"/>
          <c:max val="2100"/>
          <c:min val="0"/>
        </c:scaling>
        <c:axPos val="t"/>
        <c:numFmt formatCode="General" sourceLinked="1"/>
        <c:tickLblPos val="nextTo"/>
        <c:crossAx val="101545856"/>
        <c:crosses val="autoZero"/>
        <c:crossBetween val="between"/>
      </c:valAx>
    </c:plotArea>
    <c:legend>
      <c:legendPos val="b"/>
    </c:legend>
    <c:plotVisOnly val="1"/>
    <c:dispBlanksAs val="gap"/>
  </c:chart>
  <c:txPr>
    <a:bodyPr/>
    <a:lstStyle/>
    <a:p>
      <a:pPr>
        <a:defRPr>
          <a:latin typeface="Arial" pitchFamily="34" charset="0"/>
          <a:cs typeface="Arial"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plotArea>
      <c:layout/>
      <c:lineChart>
        <c:grouping val="standard"/>
        <c:ser>
          <c:idx val="0"/>
          <c:order val="0"/>
          <c:tx>
            <c:strRef>
              <c:f>DATA!$B$20</c:f>
              <c:strCache>
                <c:ptCount val="1"/>
                <c:pt idx="0">
                  <c:v>mężczyźni</c:v>
                </c:pt>
              </c:strCache>
            </c:strRef>
          </c:tx>
          <c:dLbls>
            <c:dLbl>
              <c:idx val="0"/>
              <c:layout>
                <c:manualLayout>
                  <c:x val="-5.2287581699346518E-2"/>
                  <c:y val="-4.1797283176593522E-2"/>
                </c:manualLayout>
              </c:layout>
              <c:tx>
                <c:rich>
                  <a:bodyPr/>
                  <a:lstStyle/>
                  <a:p>
                    <a:r>
                      <a:rPr lang="pl-PL" sz="800" b="1">
                        <a:solidFill>
                          <a:schemeClr val="tx2">
                            <a:lumMod val="75000"/>
                          </a:schemeClr>
                        </a:solidFill>
                      </a:rPr>
                      <a:t>5</a:t>
                    </a:r>
                    <a:r>
                      <a:rPr lang="pl-PL"/>
                      <a:t>1,5%</a:t>
                    </a:r>
                    <a:endParaRPr lang="en-US"/>
                  </a:p>
                </c:rich>
              </c:tx>
              <c:showVal val="1"/>
            </c:dLbl>
            <c:dLbl>
              <c:idx val="1"/>
              <c:layout>
                <c:manualLayout>
                  <c:x val="-4.5751633986928247E-2"/>
                  <c:y val="-5.0156739811912369E-2"/>
                </c:manualLayout>
              </c:layout>
              <c:tx>
                <c:rich>
                  <a:bodyPr/>
                  <a:lstStyle/>
                  <a:p>
                    <a:r>
                      <a:rPr lang="pl-PL" sz="800" b="1">
                        <a:solidFill>
                          <a:schemeClr val="tx2">
                            <a:lumMod val="75000"/>
                          </a:schemeClr>
                        </a:solidFill>
                      </a:rPr>
                      <a:t>5</a:t>
                    </a:r>
                    <a:r>
                      <a:rPr lang="pl-PL"/>
                      <a:t>1,6%</a:t>
                    </a:r>
                    <a:r>
                      <a:rPr lang="en-US"/>
                      <a:t>8</a:t>
                    </a:r>
                  </a:p>
                </c:rich>
              </c:tx>
              <c:showVal val="1"/>
            </c:dLbl>
            <c:dLbl>
              <c:idx val="2"/>
              <c:layout>
                <c:manualLayout>
                  <c:x val="-4.1394335511982565E-2"/>
                  <c:y val="-5.4336468129571776E-2"/>
                </c:manualLayout>
              </c:layout>
              <c:tx>
                <c:rich>
                  <a:bodyPr/>
                  <a:lstStyle/>
                  <a:p>
                    <a:r>
                      <a:rPr lang="pl-PL" sz="800" b="1">
                        <a:solidFill>
                          <a:schemeClr val="tx2">
                            <a:lumMod val="75000"/>
                          </a:schemeClr>
                        </a:solidFill>
                      </a:rPr>
                      <a:t>5</a:t>
                    </a:r>
                    <a:r>
                      <a:rPr lang="pl-PL"/>
                      <a:t>1,4%</a:t>
                    </a:r>
                    <a:endParaRPr lang="en-US"/>
                  </a:p>
                </c:rich>
              </c:tx>
              <c:showVal val="1"/>
            </c:dLbl>
            <c:dLbl>
              <c:idx val="3"/>
              <c:layout>
                <c:manualLayout>
                  <c:x val="-5.8823529411764705E-2"/>
                  <c:y val="-6.6875653082549641E-2"/>
                </c:manualLayout>
              </c:layout>
              <c:tx>
                <c:rich>
                  <a:bodyPr/>
                  <a:lstStyle/>
                  <a:p>
                    <a:r>
                      <a:rPr lang="pl-PL" sz="800" b="1">
                        <a:solidFill>
                          <a:schemeClr val="tx2">
                            <a:lumMod val="75000"/>
                          </a:schemeClr>
                        </a:solidFill>
                      </a:rPr>
                      <a:t>5</a:t>
                    </a:r>
                    <a:r>
                      <a:rPr lang="pl-PL"/>
                      <a:t>1,3%</a:t>
                    </a:r>
                    <a:endParaRPr lang="en-US"/>
                  </a:p>
                </c:rich>
              </c:tx>
              <c:showVal val="1"/>
            </c:dLbl>
            <c:dLbl>
              <c:idx val="4"/>
              <c:layout>
                <c:manualLayout>
                  <c:x val="-6.1002178649237473E-2"/>
                  <c:y val="-5.0156739811912369E-2"/>
                </c:manualLayout>
              </c:layout>
              <c:tx>
                <c:rich>
                  <a:bodyPr/>
                  <a:lstStyle/>
                  <a:p>
                    <a:r>
                      <a:rPr lang="pl-PL" sz="800" b="1">
                        <a:solidFill>
                          <a:schemeClr val="tx2">
                            <a:lumMod val="75000"/>
                          </a:schemeClr>
                        </a:solidFill>
                      </a:rPr>
                      <a:t>5</a:t>
                    </a:r>
                    <a:r>
                      <a:rPr lang="pl-PL"/>
                      <a:t>1,0%</a:t>
                    </a:r>
                    <a:endParaRPr lang="en-US"/>
                  </a:p>
                </c:rich>
              </c:tx>
              <c:showVal val="1"/>
            </c:dLbl>
            <c:dLbl>
              <c:idx val="5"/>
              <c:layout>
                <c:manualLayout>
                  <c:x val="-7.1895424836601524E-2"/>
                  <c:y val="-4.1797283176593522E-2"/>
                </c:manualLayout>
              </c:layout>
              <c:tx>
                <c:rich>
                  <a:bodyPr/>
                  <a:lstStyle/>
                  <a:p>
                    <a:r>
                      <a:rPr lang="pl-PL" sz="800" b="1">
                        <a:solidFill>
                          <a:schemeClr val="tx2">
                            <a:lumMod val="75000"/>
                          </a:schemeClr>
                        </a:solidFill>
                      </a:rPr>
                      <a:t>5</a:t>
                    </a:r>
                    <a:r>
                      <a:rPr lang="pl-PL"/>
                      <a:t>0,7%</a:t>
                    </a:r>
                    <a:endParaRPr lang="en-US"/>
                  </a:p>
                </c:rich>
              </c:tx>
              <c:showVal val="1"/>
            </c:dLbl>
            <c:dLbl>
              <c:idx val="6"/>
              <c:layout>
                <c:manualLayout>
                  <c:x val="-5.0108932461873638E-2"/>
                  <c:y val="-5.0156739811912369E-2"/>
                </c:manualLayout>
              </c:layout>
              <c:tx>
                <c:rich>
                  <a:bodyPr/>
                  <a:lstStyle/>
                  <a:p>
                    <a:r>
                      <a:rPr lang="pl-PL" sz="800" b="1">
                        <a:solidFill>
                          <a:schemeClr val="tx2">
                            <a:lumMod val="75000"/>
                          </a:schemeClr>
                        </a:solidFill>
                      </a:rPr>
                      <a:t>5</a:t>
                    </a:r>
                    <a:r>
                      <a:rPr lang="pl-PL"/>
                      <a:t>0,7%</a:t>
                    </a:r>
                    <a:endParaRPr lang="en-US"/>
                  </a:p>
                </c:rich>
              </c:tx>
              <c:showVal val="1"/>
            </c:dLbl>
            <c:dLbl>
              <c:idx val="7"/>
              <c:layout>
                <c:manualLayout>
                  <c:x val="-3.7037037037037056E-2"/>
                  <c:y val="-4.1797283176593522E-2"/>
                </c:manualLayout>
              </c:layout>
              <c:tx>
                <c:rich>
                  <a:bodyPr/>
                  <a:lstStyle/>
                  <a:p>
                    <a:r>
                      <a:rPr lang="pl-PL" sz="800" b="1">
                        <a:solidFill>
                          <a:schemeClr val="tx2">
                            <a:lumMod val="75000"/>
                          </a:schemeClr>
                        </a:solidFill>
                      </a:rPr>
                      <a:t>5</a:t>
                    </a:r>
                    <a:r>
                      <a:rPr lang="pl-PL"/>
                      <a:t>0,7%</a:t>
                    </a:r>
                    <a:endParaRPr lang="en-US"/>
                  </a:p>
                </c:rich>
              </c:tx>
              <c:showVal val="1"/>
            </c:dLbl>
            <c:dLbl>
              <c:idx val="8"/>
              <c:layout>
                <c:manualLayout>
                  <c:x val="-3.9215686274509803E-2"/>
                  <c:y val="-3.7617554858934171E-2"/>
                </c:manualLayout>
              </c:layout>
              <c:tx>
                <c:rich>
                  <a:bodyPr/>
                  <a:lstStyle/>
                  <a:p>
                    <a:r>
                      <a:rPr lang="pl-PL" sz="800" b="1">
                        <a:solidFill>
                          <a:schemeClr val="tx2">
                            <a:lumMod val="75000"/>
                          </a:schemeClr>
                        </a:solidFill>
                      </a:rPr>
                      <a:t>5</a:t>
                    </a:r>
                    <a:r>
                      <a:rPr lang="pl-PL"/>
                      <a:t>0,6%</a:t>
                    </a:r>
                    <a:endParaRPr lang="en-US"/>
                  </a:p>
                </c:rich>
              </c:tx>
              <c:showVal val="1"/>
            </c:dLbl>
            <c:dLbl>
              <c:idx val="9"/>
              <c:layout>
                <c:manualLayout>
                  <c:x val="-4.1394335511982565E-2"/>
                  <c:y val="4.5977011494252915E-2"/>
                </c:manualLayout>
              </c:layout>
              <c:tx>
                <c:rich>
                  <a:bodyPr/>
                  <a:lstStyle/>
                  <a:p>
                    <a:r>
                      <a:rPr lang="pl-PL" sz="800" b="1">
                        <a:solidFill>
                          <a:schemeClr val="tx2">
                            <a:lumMod val="75000"/>
                          </a:schemeClr>
                        </a:solidFill>
                      </a:rPr>
                      <a:t>4</a:t>
                    </a:r>
                    <a:r>
                      <a:rPr lang="pl-PL"/>
                      <a:t>9,9%</a:t>
                    </a:r>
                    <a:endParaRPr lang="en-US"/>
                  </a:p>
                </c:rich>
              </c:tx>
              <c:showVal val="1"/>
            </c:dLbl>
            <c:dLbl>
              <c:idx val="10"/>
              <c:layout>
                <c:manualLayout>
                  <c:x val="-4.1394335511982565E-2"/>
                  <c:y val="4.5977011494252866E-2"/>
                </c:manualLayout>
              </c:layout>
              <c:tx>
                <c:rich>
                  <a:bodyPr/>
                  <a:lstStyle/>
                  <a:p>
                    <a:r>
                      <a:rPr lang="pl-PL" sz="800" b="1">
                        <a:solidFill>
                          <a:schemeClr val="tx2">
                            <a:lumMod val="75000"/>
                          </a:schemeClr>
                        </a:solidFill>
                      </a:rPr>
                      <a:t>4</a:t>
                    </a:r>
                    <a:r>
                      <a:rPr lang="pl-PL"/>
                      <a:t>9,1%</a:t>
                    </a:r>
                    <a:endParaRPr lang="en-US"/>
                  </a:p>
                </c:rich>
              </c:tx>
              <c:showVal val="1"/>
            </c:dLbl>
            <c:dLbl>
              <c:idx val="11"/>
              <c:layout>
                <c:manualLayout>
                  <c:x val="-4.5751805534112157E-2"/>
                  <c:y val="5.4336468129571817E-2"/>
                </c:manualLayout>
              </c:layout>
              <c:tx>
                <c:rich>
                  <a:bodyPr/>
                  <a:lstStyle/>
                  <a:p>
                    <a:r>
                      <a:rPr lang="pl-PL" sz="800" b="1">
                        <a:solidFill>
                          <a:schemeClr val="tx2">
                            <a:lumMod val="75000"/>
                          </a:schemeClr>
                        </a:solidFill>
                      </a:rPr>
                      <a:t>4</a:t>
                    </a:r>
                    <a:r>
                      <a:rPr lang="pl-PL"/>
                      <a:t>8,0%</a:t>
                    </a:r>
                    <a:endParaRPr lang="en-US"/>
                  </a:p>
                </c:rich>
              </c:tx>
              <c:showVal val="1"/>
            </c:dLbl>
            <c:dLbl>
              <c:idx val="12"/>
              <c:layout>
                <c:manualLayout>
                  <c:x val="-5.6644880174291846E-2"/>
                  <c:y val="5.8516196447231036E-2"/>
                </c:manualLayout>
              </c:layout>
              <c:tx>
                <c:rich>
                  <a:bodyPr/>
                  <a:lstStyle/>
                  <a:p>
                    <a:r>
                      <a:rPr lang="pl-PL" sz="800" b="1">
                        <a:solidFill>
                          <a:schemeClr val="tx2">
                            <a:lumMod val="75000"/>
                          </a:schemeClr>
                        </a:solidFill>
                      </a:rPr>
                      <a:t>4</a:t>
                    </a:r>
                    <a:r>
                      <a:rPr lang="pl-PL"/>
                      <a:t>6,3%</a:t>
                    </a:r>
                    <a:endParaRPr lang="en-US"/>
                  </a:p>
                </c:rich>
              </c:tx>
              <c:showVal val="1"/>
            </c:dLbl>
            <c:dLbl>
              <c:idx val="13"/>
              <c:layout>
                <c:manualLayout>
                  <c:x val="-5.4466230936819432E-2"/>
                  <c:y val="5.4336468129571776E-2"/>
                </c:manualLayout>
              </c:layout>
              <c:tx>
                <c:rich>
                  <a:bodyPr/>
                  <a:lstStyle/>
                  <a:p>
                    <a:r>
                      <a:rPr lang="pl-PL" sz="800" b="1">
                        <a:solidFill>
                          <a:schemeClr val="tx2">
                            <a:lumMod val="75000"/>
                          </a:schemeClr>
                        </a:solidFill>
                      </a:rPr>
                      <a:t>4</a:t>
                    </a:r>
                    <a:r>
                      <a:rPr lang="pl-PL"/>
                      <a:t>4,6%</a:t>
                    </a:r>
                    <a:endParaRPr lang="en-US"/>
                  </a:p>
                </c:rich>
              </c:tx>
              <c:showVal val="1"/>
            </c:dLbl>
            <c:dLbl>
              <c:idx val="14"/>
              <c:layout>
                <c:manualLayout>
                  <c:x val="-5.0108932461873638E-2"/>
                  <c:y val="5.015641069944634E-2"/>
                </c:manualLayout>
              </c:layout>
              <c:tx>
                <c:rich>
                  <a:bodyPr/>
                  <a:lstStyle/>
                  <a:p>
                    <a:r>
                      <a:rPr lang="pl-PL">
                        <a:solidFill>
                          <a:schemeClr val="tx2">
                            <a:lumMod val="75000"/>
                          </a:schemeClr>
                        </a:solidFill>
                      </a:rPr>
                      <a:t>4</a:t>
                    </a:r>
                    <a:r>
                      <a:rPr lang="pl-PL"/>
                      <a:t>1,2%</a:t>
                    </a:r>
                    <a:endParaRPr lang="en-US"/>
                  </a:p>
                </c:rich>
              </c:tx>
              <c:showVal val="1"/>
            </c:dLbl>
            <c:dLbl>
              <c:idx val="15"/>
              <c:layout>
                <c:manualLayout>
                  <c:x val="-5.2287581699346518E-2"/>
                  <c:y val="5.0156739811912369E-2"/>
                </c:manualLayout>
              </c:layout>
              <c:tx>
                <c:rich>
                  <a:bodyPr/>
                  <a:lstStyle/>
                  <a:p>
                    <a:r>
                      <a:rPr lang="pl-PL">
                        <a:solidFill>
                          <a:schemeClr val="tx2">
                            <a:lumMod val="75000"/>
                          </a:schemeClr>
                        </a:solidFill>
                      </a:rPr>
                      <a:t>3</a:t>
                    </a:r>
                    <a:r>
                      <a:rPr lang="pl-PL"/>
                      <a:t>7,4%</a:t>
                    </a:r>
                    <a:endParaRPr lang="en-US"/>
                  </a:p>
                </c:rich>
              </c:tx>
              <c:showVal val="1"/>
            </c:dLbl>
            <c:dLbl>
              <c:idx val="16"/>
              <c:layout>
                <c:manualLayout>
                  <c:x val="-5.4466230936819432E-2"/>
                  <c:y val="3.7617554858934248E-2"/>
                </c:manualLayout>
              </c:layout>
              <c:tx>
                <c:rich>
                  <a:bodyPr/>
                  <a:lstStyle/>
                  <a:p>
                    <a:r>
                      <a:rPr lang="pl-PL">
                        <a:solidFill>
                          <a:schemeClr val="tx2">
                            <a:lumMod val="75000"/>
                          </a:schemeClr>
                        </a:solidFill>
                      </a:rPr>
                      <a:t>3</a:t>
                    </a:r>
                    <a:r>
                      <a:rPr lang="pl-PL"/>
                      <a:t>3,5%</a:t>
                    </a:r>
                    <a:endParaRPr lang="en-US"/>
                  </a:p>
                </c:rich>
              </c:tx>
              <c:showVal val="1"/>
            </c:dLbl>
            <c:dLbl>
              <c:idx val="17"/>
              <c:layout>
                <c:manualLayout>
                  <c:x val="-3.2679738562091602E-2"/>
                  <c:y val="4.1797283176593522E-2"/>
                </c:manualLayout>
              </c:layout>
              <c:tx>
                <c:rich>
                  <a:bodyPr/>
                  <a:lstStyle/>
                  <a:p>
                    <a:r>
                      <a:rPr lang="pl-PL">
                        <a:solidFill>
                          <a:schemeClr val="tx2">
                            <a:lumMod val="75000"/>
                          </a:schemeClr>
                        </a:solidFill>
                      </a:rPr>
                      <a:t>2</a:t>
                    </a:r>
                    <a:r>
                      <a:rPr lang="pl-PL"/>
                      <a:t>6,2%</a:t>
                    </a:r>
                    <a:endParaRPr lang="en-US"/>
                  </a:p>
                </c:rich>
              </c:tx>
              <c:showVal val="1"/>
            </c:dLbl>
            <c:txPr>
              <a:bodyPr/>
              <a:lstStyle/>
              <a:p>
                <a:pPr>
                  <a:defRPr sz="800" b="1">
                    <a:solidFill>
                      <a:schemeClr val="tx2">
                        <a:lumMod val="75000"/>
                      </a:schemeClr>
                    </a:solidFill>
                  </a:defRPr>
                </a:pPr>
                <a:endParaRPr lang="pl-PL"/>
              </a:p>
            </c:txPr>
            <c:showVal val="1"/>
          </c:dLbls>
          <c:cat>
            <c:strRef>
              <c:f>DATA!$C$19:$T$19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DATA!$C$20:$T$20</c:f>
              <c:numCache>
                <c:formatCode>0</c:formatCode>
                <c:ptCount val="18"/>
                <c:pt idx="0">
                  <c:v>100610</c:v>
                </c:pt>
                <c:pt idx="1">
                  <c:v>96928</c:v>
                </c:pt>
                <c:pt idx="2">
                  <c:v>88578</c:v>
                </c:pt>
                <c:pt idx="3">
                  <c:v>100711</c:v>
                </c:pt>
                <c:pt idx="4" formatCode="General">
                  <c:v>123610</c:v>
                </c:pt>
                <c:pt idx="5">
                  <c:v>143416</c:v>
                </c:pt>
                <c:pt idx="6">
                  <c:v>151628</c:v>
                </c:pt>
                <c:pt idx="7">
                  <c:v>139273</c:v>
                </c:pt>
                <c:pt idx="8">
                  <c:v>117385</c:v>
                </c:pt>
                <c:pt idx="9">
                  <c:v>102422</c:v>
                </c:pt>
                <c:pt idx="10">
                  <c:v>110924</c:v>
                </c:pt>
                <c:pt idx="11">
                  <c:v>122144</c:v>
                </c:pt>
                <c:pt idx="12">
                  <c:v>106079</c:v>
                </c:pt>
                <c:pt idx="13">
                  <c:v>73255</c:v>
                </c:pt>
                <c:pt idx="14">
                  <c:v>40736</c:v>
                </c:pt>
                <c:pt idx="15">
                  <c:v>33680</c:v>
                </c:pt>
                <c:pt idx="16">
                  <c:v>22081</c:v>
                </c:pt>
                <c:pt idx="17">
                  <c:v>12882</c:v>
                </c:pt>
              </c:numCache>
            </c:numRef>
          </c:val>
        </c:ser>
        <c:ser>
          <c:idx val="1"/>
          <c:order val="1"/>
          <c:tx>
            <c:strRef>
              <c:f>DATA!$B$21</c:f>
              <c:strCache>
                <c:ptCount val="1"/>
                <c:pt idx="0">
                  <c:v>kobiety</c:v>
                </c:pt>
              </c:strCache>
            </c:strRef>
          </c:tx>
          <c:dLbls>
            <c:dLbl>
              <c:idx val="0"/>
              <c:layout>
                <c:manualLayout>
                  <c:x val="-5.8823529411764705E-2"/>
                  <c:y val="5.4336468129571776E-2"/>
                </c:manualLayout>
              </c:layout>
              <c:tx>
                <c:rich>
                  <a:bodyPr/>
                  <a:lstStyle/>
                  <a:p>
                    <a:r>
                      <a:rPr lang="pl-PL" sz="800" b="1">
                        <a:solidFill>
                          <a:srgbClr val="C00000"/>
                        </a:solidFill>
                      </a:rPr>
                      <a:t>4</a:t>
                    </a:r>
                    <a:r>
                      <a:rPr lang="pl-PL"/>
                      <a:t>8,5%</a:t>
                    </a:r>
                    <a:endParaRPr lang="en-US"/>
                  </a:p>
                </c:rich>
              </c:tx>
              <c:showVal val="1"/>
            </c:dLbl>
            <c:dLbl>
              <c:idx val="1"/>
              <c:layout>
                <c:manualLayout>
                  <c:x val="-5.2287581699346504E-2"/>
                  <c:y val="5.0156739811912335E-2"/>
                </c:manualLayout>
              </c:layout>
              <c:tx>
                <c:rich>
                  <a:bodyPr/>
                  <a:lstStyle/>
                  <a:p>
                    <a:r>
                      <a:rPr lang="pl-PL">
                        <a:solidFill>
                          <a:srgbClr val="C00000"/>
                        </a:solidFill>
                      </a:rPr>
                      <a:t>4</a:t>
                    </a:r>
                    <a:r>
                      <a:rPr lang="pl-PL"/>
                      <a:t>8,4%</a:t>
                    </a:r>
                    <a:endParaRPr lang="en-US"/>
                  </a:p>
                </c:rich>
              </c:tx>
              <c:showVal val="1"/>
            </c:dLbl>
            <c:dLbl>
              <c:idx val="2"/>
              <c:layout>
                <c:manualLayout>
                  <c:x val="-3.9215686274509803E-2"/>
                  <c:y val="4.1797283176593522E-2"/>
                </c:manualLayout>
              </c:layout>
              <c:tx>
                <c:rich>
                  <a:bodyPr/>
                  <a:lstStyle/>
                  <a:p>
                    <a:r>
                      <a:rPr lang="pl-PL">
                        <a:solidFill>
                          <a:srgbClr val="C00000"/>
                        </a:solidFill>
                      </a:rPr>
                      <a:t>4</a:t>
                    </a:r>
                    <a:r>
                      <a:rPr lang="pl-PL"/>
                      <a:t>8,6%</a:t>
                    </a:r>
                    <a:endParaRPr lang="en-US"/>
                  </a:p>
                </c:rich>
              </c:tx>
              <c:showVal val="1"/>
            </c:dLbl>
            <c:dLbl>
              <c:idx val="3"/>
              <c:layout>
                <c:manualLayout>
                  <c:x val="-4.1394335511982613E-2"/>
                  <c:y val="3.7617554858934171E-2"/>
                </c:manualLayout>
              </c:layout>
              <c:tx>
                <c:rich>
                  <a:bodyPr/>
                  <a:lstStyle/>
                  <a:p>
                    <a:r>
                      <a:rPr lang="pl-PL">
                        <a:solidFill>
                          <a:srgbClr val="C00000"/>
                        </a:solidFill>
                      </a:rPr>
                      <a:t>4</a:t>
                    </a:r>
                    <a:r>
                      <a:rPr lang="pl-PL"/>
                      <a:t>8,7%</a:t>
                    </a:r>
                    <a:endParaRPr lang="en-US"/>
                  </a:p>
                </c:rich>
              </c:tx>
              <c:showVal val="1"/>
            </c:dLbl>
            <c:dLbl>
              <c:idx val="4"/>
              <c:layout>
                <c:manualLayout>
                  <c:x val="-3.2679738562091602E-2"/>
                  <c:y val="6.269592476489029E-2"/>
                </c:manualLayout>
              </c:layout>
              <c:tx>
                <c:rich>
                  <a:bodyPr/>
                  <a:lstStyle/>
                  <a:p>
                    <a:r>
                      <a:rPr lang="pl-PL">
                        <a:solidFill>
                          <a:srgbClr val="C00000"/>
                        </a:solidFill>
                      </a:rPr>
                      <a:t>4</a:t>
                    </a:r>
                    <a:r>
                      <a:rPr lang="pl-PL"/>
                      <a:t>9,0%</a:t>
                    </a:r>
                    <a:endParaRPr lang="en-US"/>
                  </a:p>
                </c:rich>
              </c:tx>
              <c:showVal val="1"/>
            </c:dLbl>
            <c:dLbl>
              <c:idx val="5"/>
              <c:layout>
                <c:manualLayout>
                  <c:x val="-4.7930283224400932E-2"/>
                  <c:y val="5.0156739811912369E-2"/>
                </c:manualLayout>
              </c:layout>
              <c:tx>
                <c:rich>
                  <a:bodyPr/>
                  <a:lstStyle/>
                  <a:p>
                    <a:r>
                      <a:rPr lang="pl-PL">
                        <a:solidFill>
                          <a:srgbClr val="C00000"/>
                        </a:solidFill>
                      </a:rPr>
                      <a:t>4</a:t>
                    </a:r>
                    <a:r>
                      <a:rPr lang="pl-PL"/>
                      <a:t>9,3%</a:t>
                    </a:r>
                    <a:endParaRPr lang="en-US"/>
                  </a:p>
                </c:rich>
              </c:tx>
              <c:showVal val="1"/>
            </c:dLbl>
            <c:dLbl>
              <c:idx val="6"/>
              <c:layout>
                <c:manualLayout>
                  <c:x val="-5.2287581699346518E-2"/>
                  <c:y val="5.0156739811912369E-2"/>
                </c:manualLayout>
              </c:layout>
              <c:tx>
                <c:rich>
                  <a:bodyPr/>
                  <a:lstStyle/>
                  <a:p>
                    <a:r>
                      <a:rPr lang="pl-PL">
                        <a:solidFill>
                          <a:srgbClr val="C00000"/>
                        </a:solidFill>
                      </a:rPr>
                      <a:t>4</a:t>
                    </a:r>
                    <a:r>
                      <a:rPr lang="pl-PL"/>
                      <a:t>9,3%</a:t>
                    </a:r>
                    <a:endParaRPr lang="en-US"/>
                  </a:p>
                </c:rich>
              </c:tx>
              <c:showVal val="1"/>
            </c:dLbl>
            <c:dLbl>
              <c:idx val="7"/>
              <c:layout>
                <c:manualLayout>
                  <c:x val="-5.4466230936819432E-2"/>
                  <c:y val="5.0156739811912369E-2"/>
                </c:manualLayout>
              </c:layout>
              <c:tx>
                <c:rich>
                  <a:bodyPr/>
                  <a:lstStyle/>
                  <a:p>
                    <a:r>
                      <a:rPr lang="pl-PL">
                        <a:solidFill>
                          <a:srgbClr val="C00000"/>
                        </a:solidFill>
                      </a:rPr>
                      <a:t>4</a:t>
                    </a:r>
                    <a:r>
                      <a:rPr lang="pl-PL"/>
                      <a:t>9,4%</a:t>
                    </a:r>
                    <a:endParaRPr lang="en-US"/>
                  </a:p>
                </c:rich>
              </c:tx>
              <c:showVal val="1"/>
            </c:dLbl>
            <c:dLbl>
              <c:idx val="8"/>
              <c:layout>
                <c:manualLayout>
                  <c:x val="-6.3180827886710339E-2"/>
                  <c:y val="5.0156739811912369E-2"/>
                </c:manualLayout>
              </c:layout>
              <c:tx>
                <c:rich>
                  <a:bodyPr/>
                  <a:lstStyle/>
                  <a:p>
                    <a:r>
                      <a:rPr lang="pl-PL">
                        <a:solidFill>
                          <a:srgbClr val="C00000"/>
                        </a:solidFill>
                      </a:rPr>
                      <a:t>4</a:t>
                    </a:r>
                    <a:r>
                      <a:rPr lang="pl-PL"/>
                      <a:t>9,4%</a:t>
                    </a:r>
                    <a:endParaRPr lang="en-US"/>
                  </a:p>
                </c:rich>
              </c:tx>
              <c:showVal val="1"/>
            </c:dLbl>
            <c:dLbl>
              <c:idx val="9"/>
              <c:layout>
                <c:manualLayout>
                  <c:x val="-4.3572984749455403E-2"/>
                  <c:y val="-5.4336468129571776E-2"/>
                </c:manualLayout>
              </c:layout>
              <c:tx>
                <c:rich>
                  <a:bodyPr/>
                  <a:lstStyle/>
                  <a:p>
                    <a:r>
                      <a:rPr lang="pl-PL">
                        <a:solidFill>
                          <a:srgbClr val="C00000"/>
                        </a:solidFill>
                      </a:rPr>
                      <a:t>5</a:t>
                    </a:r>
                    <a:r>
                      <a:rPr lang="pl-PL"/>
                      <a:t>0,1%</a:t>
                    </a:r>
                    <a:endParaRPr lang="en-US"/>
                  </a:p>
                </c:rich>
              </c:tx>
              <c:showVal val="1"/>
            </c:dLbl>
            <c:dLbl>
              <c:idx val="10"/>
              <c:layout>
                <c:manualLayout>
                  <c:x val="-5.0108932461873638E-2"/>
                  <c:y val="-5.0157068924378184E-2"/>
                </c:manualLayout>
              </c:layout>
              <c:tx>
                <c:rich>
                  <a:bodyPr/>
                  <a:lstStyle/>
                  <a:p>
                    <a:r>
                      <a:rPr lang="pl-PL">
                        <a:solidFill>
                          <a:srgbClr val="C00000"/>
                        </a:solidFill>
                      </a:rPr>
                      <a:t>5</a:t>
                    </a:r>
                    <a:r>
                      <a:rPr lang="pl-PL"/>
                      <a:t>0,9%</a:t>
                    </a:r>
                    <a:endParaRPr lang="en-US"/>
                  </a:p>
                </c:rich>
              </c:tx>
              <c:showVal val="1"/>
            </c:dLbl>
            <c:dLbl>
              <c:idx val="11"/>
              <c:layout>
                <c:manualLayout>
                  <c:x val="-4.5751633986928379E-2"/>
                  <c:y val="-5.0156739811912369E-2"/>
                </c:manualLayout>
              </c:layout>
              <c:tx>
                <c:rich>
                  <a:bodyPr/>
                  <a:lstStyle/>
                  <a:p>
                    <a:r>
                      <a:rPr lang="pl-PL">
                        <a:solidFill>
                          <a:srgbClr val="C00000"/>
                        </a:solidFill>
                      </a:rPr>
                      <a:t>5</a:t>
                    </a:r>
                    <a:r>
                      <a:rPr lang="pl-PL"/>
                      <a:t>2,0%</a:t>
                    </a:r>
                    <a:endParaRPr lang="en-US"/>
                  </a:p>
                </c:rich>
              </c:tx>
              <c:showVal val="1"/>
            </c:dLbl>
            <c:dLbl>
              <c:idx val="12"/>
              <c:tx>
                <c:rich>
                  <a:bodyPr/>
                  <a:lstStyle/>
                  <a:p>
                    <a:r>
                      <a:rPr lang="pl-PL">
                        <a:solidFill>
                          <a:srgbClr val="C00000"/>
                        </a:solidFill>
                      </a:rPr>
                      <a:t>5</a:t>
                    </a:r>
                    <a:r>
                      <a:rPr lang="pl-PL"/>
                      <a:t>3,7%</a:t>
                    </a:r>
                    <a:endParaRPr lang="en-US"/>
                  </a:p>
                </c:rich>
              </c:tx>
              <c:showVal val="1"/>
            </c:dLbl>
            <c:dLbl>
              <c:idx val="13"/>
              <c:tx>
                <c:rich>
                  <a:bodyPr/>
                  <a:lstStyle/>
                  <a:p>
                    <a:r>
                      <a:rPr lang="pl-PL">
                        <a:solidFill>
                          <a:srgbClr val="C00000"/>
                        </a:solidFill>
                      </a:rPr>
                      <a:t>5</a:t>
                    </a:r>
                    <a:r>
                      <a:rPr lang="pl-PL"/>
                      <a:t>5,4%</a:t>
                    </a:r>
                    <a:endParaRPr lang="en-US"/>
                  </a:p>
                </c:rich>
              </c:tx>
              <c:showVal val="1"/>
            </c:dLbl>
            <c:dLbl>
              <c:idx val="14"/>
              <c:layout>
                <c:manualLayout>
                  <c:x val="-2.8322440087145972E-2"/>
                  <c:y val="-5.0156739811912369E-2"/>
                </c:manualLayout>
              </c:layout>
              <c:tx>
                <c:rich>
                  <a:bodyPr/>
                  <a:lstStyle/>
                  <a:p>
                    <a:r>
                      <a:rPr lang="pl-PL">
                        <a:solidFill>
                          <a:srgbClr val="C00000"/>
                        </a:solidFill>
                      </a:rPr>
                      <a:t>5</a:t>
                    </a:r>
                    <a:r>
                      <a:rPr lang="pl-PL"/>
                      <a:t>8,8%</a:t>
                    </a:r>
                    <a:endParaRPr lang="en-US"/>
                  </a:p>
                </c:rich>
              </c:tx>
              <c:showVal val="1"/>
            </c:dLbl>
            <c:dLbl>
              <c:idx val="15"/>
              <c:layout>
                <c:manualLayout>
                  <c:x val="-2.8322440087145972E-2"/>
                  <c:y val="-3.7617554858934171E-2"/>
                </c:manualLayout>
              </c:layout>
              <c:tx>
                <c:rich>
                  <a:bodyPr/>
                  <a:lstStyle/>
                  <a:p>
                    <a:r>
                      <a:rPr lang="pl-PL">
                        <a:solidFill>
                          <a:srgbClr val="C00000"/>
                        </a:solidFill>
                      </a:rPr>
                      <a:t>6</a:t>
                    </a:r>
                    <a:r>
                      <a:rPr lang="pl-PL"/>
                      <a:t>2,6%</a:t>
                    </a:r>
                    <a:endParaRPr lang="en-US"/>
                  </a:p>
                </c:rich>
              </c:tx>
              <c:showVal val="1"/>
            </c:dLbl>
            <c:dLbl>
              <c:idx val="16"/>
              <c:layout>
                <c:manualLayout>
                  <c:x val="-2.8322440087145972E-2"/>
                  <c:y val="-3.7617554858934171E-2"/>
                </c:manualLayout>
              </c:layout>
              <c:tx>
                <c:rich>
                  <a:bodyPr/>
                  <a:lstStyle/>
                  <a:p>
                    <a:r>
                      <a:rPr lang="pl-PL">
                        <a:solidFill>
                          <a:srgbClr val="C00000"/>
                        </a:solidFill>
                      </a:rPr>
                      <a:t>6</a:t>
                    </a:r>
                    <a:r>
                      <a:rPr lang="pl-PL"/>
                      <a:t>6,5%</a:t>
                    </a:r>
                    <a:endParaRPr lang="en-US"/>
                  </a:p>
                </c:rich>
              </c:tx>
              <c:showVal val="1"/>
            </c:dLbl>
            <c:dLbl>
              <c:idx val="17"/>
              <c:layout>
                <c:manualLayout>
                  <c:x val="0"/>
                  <c:y val="-4.5977011494252866E-2"/>
                </c:manualLayout>
              </c:layout>
              <c:tx>
                <c:rich>
                  <a:bodyPr/>
                  <a:lstStyle/>
                  <a:p>
                    <a:r>
                      <a:rPr lang="pl-PL">
                        <a:solidFill>
                          <a:srgbClr val="C00000"/>
                        </a:solidFill>
                      </a:rPr>
                      <a:t>7</a:t>
                    </a:r>
                    <a:r>
                      <a:rPr lang="pl-PL"/>
                      <a:t>3,8%</a:t>
                    </a:r>
                    <a:endParaRPr lang="en-US"/>
                  </a:p>
                </c:rich>
              </c:tx>
              <c:showVal val="1"/>
            </c:dLbl>
            <c:txPr>
              <a:bodyPr/>
              <a:lstStyle/>
              <a:p>
                <a:pPr>
                  <a:defRPr sz="800" b="1">
                    <a:solidFill>
                      <a:srgbClr val="C00000"/>
                    </a:solidFill>
                  </a:defRPr>
                </a:pPr>
                <a:endParaRPr lang="pl-PL"/>
              </a:p>
            </c:txPr>
            <c:showVal val="1"/>
          </c:dLbls>
          <c:cat>
            <c:strRef>
              <c:f>DATA!$C$19:$T$19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DATA!$C$21:$T$21</c:f>
              <c:numCache>
                <c:formatCode>0</c:formatCode>
                <c:ptCount val="18"/>
                <c:pt idx="0">
                  <c:v>94889</c:v>
                </c:pt>
                <c:pt idx="1">
                  <c:v>90897</c:v>
                </c:pt>
                <c:pt idx="2">
                  <c:v>83842</c:v>
                </c:pt>
                <c:pt idx="3">
                  <c:v>95540</c:v>
                </c:pt>
                <c:pt idx="4" formatCode="General">
                  <c:v>118818</c:v>
                </c:pt>
                <c:pt idx="5">
                  <c:v>139492</c:v>
                </c:pt>
                <c:pt idx="6">
                  <c:v>147606</c:v>
                </c:pt>
                <c:pt idx="7">
                  <c:v>135960</c:v>
                </c:pt>
                <c:pt idx="8">
                  <c:v>114762</c:v>
                </c:pt>
                <c:pt idx="9">
                  <c:v>102895</c:v>
                </c:pt>
                <c:pt idx="10">
                  <c:v>115129</c:v>
                </c:pt>
                <c:pt idx="11">
                  <c:v>132224</c:v>
                </c:pt>
                <c:pt idx="12">
                  <c:v>122910</c:v>
                </c:pt>
                <c:pt idx="13">
                  <c:v>90994</c:v>
                </c:pt>
                <c:pt idx="14">
                  <c:v>58124</c:v>
                </c:pt>
                <c:pt idx="15">
                  <c:v>56426</c:v>
                </c:pt>
                <c:pt idx="16">
                  <c:v>43856</c:v>
                </c:pt>
                <c:pt idx="17">
                  <c:v>36310</c:v>
                </c:pt>
              </c:numCache>
            </c:numRef>
          </c:val>
        </c:ser>
        <c:dLbls/>
        <c:marker val="1"/>
        <c:axId val="100040064"/>
        <c:axId val="100807808"/>
      </c:lineChart>
      <c:catAx>
        <c:axId val="100040064"/>
        <c:scaling>
          <c:orientation val="minMax"/>
        </c:scaling>
        <c:axPos val="b"/>
        <c:tickLblPos val="nextTo"/>
        <c:crossAx val="100807808"/>
        <c:crosses val="autoZero"/>
        <c:auto val="1"/>
        <c:lblAlgn val="ctr"/>
        <c:lblOffset val="100"/>
      </c:catAx>
      <c:valAx>
        <c:axId val="100807808"/>
        <c:scaling>
          <c:orientation val="minMax"/>
        </c:scaling>
        <c:axPos val="l"/>
        <c:majorGridlines/>
        <c:numFmt formatCode="0" sourceLinked="1"/>
        <c:tickLblPos val="nextTo"/>
        <c:crossAx val="100040064"/>
        <c:crosses val="autoZero"/>
        <c:crossBetween val="between"/>
      </c:valAx>
    </c:plotArea>
    <c:legend>
      <c:legendPos val="b"/>
    </c:legend>
    <c:plotVisOnly val="1"/>
    <c:dispBlanksAs val="gap"/>
  </c:chart>
  <c:txPr>
    <a:bodyPr/>
    <a:lstStyle/>
    <a:p>
      <a:pPr>
        <a:defRPr>
          <a:latin typeface="Arial" pitchFamily="34" charset="0"/>
          <a:cs typeface="Arial"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view3D>
      <c:rotX val="30"/>
      <c:perspective val="30"/>
    </c:view3D>
    <c:plotArea>
      <c:layout/>
      <c:pie3DChart>
        <c:varyColors val="1"/>
        <c:ser>
          <c:idx val="0"/>
          <c:order val="0"/>
          <c:dLbls>
            <c:dLbl>
              <c:idx val="0"/>
              <c:layout>
                <c:manualLayout>
                  <c:x val="-5.4583204236512929E-3"/>
                  <c:y val="-1.1668541432320961E-2"/>
                </c:manualLayout>
              </c:layout>
              <c:tx>
                <c:rich>
                  <a:bodyPr/>
                  <a:lstStyle/>
                  <a:p>
                    <a:r>
                      <a:rPr lang="en-US">
                        <a:latin typeface="Arial" pitchFamily="34" charset="0"/>
                        <a:cs typeface="Arial" pitchFamily="34" charset="0"/>
                      </a:rPr>
                      <a:t>2</a:t>
                    </a:r>
                    <a:r>
                      <a:rPr lang="en-US"/>
                      <a:t>2,</a:t>
                    </a:r>
                    <a:r>
                      <a:rPr lang="pl-PL"/>
                      <a:t>1%</a:t>
                    </a:r>
                    <a:endParaRPr lang="en-US"/>
                  </a:p>
                </c:rich>
              </c:tx>
              <c:showVal val="1"/>
            </c:dLbl>
            <c:dLbl>
              <c:idx val="1"/>
              <c:layout>
                <c:manualLayout>
                  <c:x val="5.1877904678468777E-2"/>
                  <c:y val="-5.0936905614070972E-2"/>
                </c:manualLayout>
              </c:layout>
              <c:tx>
                <c:rich>
                  <a:bodyPr/>
                  <a:lstStyle/>
                  <a:p>
                    <a:r>
                      <a:rPr lang="en-US">
                        <a:latin typeface="Arial" pitchFamily="34" charset="0"/>
                        <a:cs typeface="Arial" pitchFamily="34" charset="0"/>
                      </a:rPr>
                      <a:t>4</a:t>
                    </a:r>
                    <a:r>
                      <a:rPr lang="en-US"/>
                      <a:t>2,</a:t>
                    </a:r>
                    <a:r>
                      <a:rPr lang="pl-PL"/>
                      <a:t>8%</a:t>
                    </a:r>
                    <a:endParaRPr lang="en-US"/>
                  </a:p>
                </c:rich>
              </c:tx>
              <c:showVal val="1"/>
            </c:dLbl>
            <c:dLbl>
              <c:idx val="2"/>
              <c:layout>
                <c:manualLayout>
                  <c:x val="1.73152847074577E-2"/>
                  <c:y val="-2.5310836145481783E-2"/>
                </c:manualLayout>
              </c:layout>
              <c:tx>
                <c:rich>
                  <a:bodyPr/>
                  <a:lstStyle/>
                  <a:p>
                    <a:r>
                      <a:rPr lang="en-US">
                        <a:latin typeface="Arial" pitchFamily="34" charset="0"/>
                        <a:cs typeface="Arial" pitchFamily="34" charset="0"/>
                      </a:rPr>
                      <a:t>2</a:t>
                    </a:r>
                    <a:r>
                      <a:rPr lang="en-US"/>
                      <a:t>9,2</a:t>
                    </a:r>
                    <a:r>
                      <a:rPr lang="pl-PL"/>
                      <a:t>%</a:t>
                    </a:r>
                    <a:endParaRPr lang="en-US"/>
                  </a:p>
                </c:rich>
              </c:tx>
              <c:showVal val="1"/>
            </c:dLbl>
            <c:dLbl>
              <c:idx val="3"/>
              <c:layout>
                <c:manualLayout>
                  <c:x val="3.8194140250786155E-3"/>
                  <c:y val="3.0857960936701212E-3"/>
                </c:manualLayout>
              </c:layout>
              <c:tx>
                <c:rich>
                  <a:bodyPr/>
                  <a:lstStyle/>
                  <a:p>
                    <a:r>
                      <a:rPr lang="en-US">
                        <a:latin typeface="Arial" pitchFamily="34" charset="0"/>
                        <a:cs typeface="Arial" pitchFamily="34" charset="0"/>
                      </a:rPr>
                      <a:t>2</a:t>
                    </a:r>
                    <a:r>
                      <a:rPr lang="en-US"/>
                      <a:t>,</a:t>
                    </a:r>
                    <a:r>
                      <a:rPr lang="pl-PL"/>
                      <a:t>1%</a:t>
                    </a:r>
                    <a:endParaRPr lang="en-US"/>
                  </a:p>
                </c:rich>
              </c:tx>
              <c:showVal val="1"/>
            </c:dLbl>
            <c:dLbl>
              <c:idx val="4"/>
              <c:layout>
                <c:manualLayout>
                  <c:x val="1.8775984073903924E-2"/>
                  <c:y val="-2.3323448205337968E-3"/>
                </c:manualLayout>
              </c:layout>
              <c:tx>
                <c:rich>
                  <a:bodyPr/>
                  <a:lstStyle/>
                  <a:p>
                    <a:r>
                      <a:rPr lang="en-US">
                        <a:latin typeface="Arial" pitchFamily="34" charset="0"/>
                        <a:cs typeface="Arial" pitchFamily="34" charset="0"/>
                      </a:rPr>
                      <a:t>3</a:t>
                    </a:r>
                    <a:r>
                      <a:rPr lang="en-US"/>
                      <a:t>,3</a:t>
                    </a:r>
                    <a:r>
                      <a:rPr lang="pl-PL"/>
                      <a:t>%</a:t>
                    </a:r>
                    <a:endParaRPr lang="en-US"/>
                  </a:p>
                </c:rich>
              </c:tx>
              <c:showVal val="1"/>
            </c:dLbl>
            <c:dLbl>
              <c:idx val="5"/>
              <c:layout>
                <c:manualLayout>
                  <c:x val="1.7272493716063271E-2"/>
                  <c:y val="-1.1747126765233982E-2"/>
                </c:manualLayout>
              </c:layout>
              <c:tx>
                <c:rich>
                  <a:bodyPr/>
                  <a:lstStyle/>
                  <a:p>
                    <a:r>
                      <a:rPr lang="en-US" sz="900">
                        <a:latin typeface="Arial" pitchFamily="34" charset="0"/>
                        <a:cs typeface="Arial" pitchFamily="34" charset="0"/>
                      </a:rPr>
                      <a:t>0</a:t>
                    </a:r>
                    <a:r>
                      <a:rPr lang="en-US" sz="900"/>
                      <a:t>,</a:t>
                    </a:r>
                    <a:r>
                      <a:rPr lang="pl-PL" sz="900"/>
                      <a:t>5%</a:t>
                    </a:r>
                    <a:endParaRPr lang="en-US" sz="900"/>
                  </a:p>
                </c:rich>
              </c:tx>
              <c:showVal val="1"/>
            </c:dLbl>
            <c:txPr>
              <a:bodyPr/>
              <a:lstStyle/>
              <a:p>
                <a:pPr>
                  <a:defRPr>
                    <a:latin typeface="Arial" pitchFamily="34" charset="0"/>
                    <a:cs typeface="Arial" pitchFamily="34" charset="0"/>
                  </a:defRPr>
                </a:pPr>
                <a:endParaRPr lang="pl-PL"/>
              </a:p>
            </c:txPr>
            <c:showVal val="1"/>
          </c:dLbls>
          <c:cat>
            <c:strRef>
              <c:f>'wrzesień 2013'!$D$19:$I$19</c:f>
              <c:strCache>
                <c:ptCount val="6"/>
                <c:pt idx="0">
                  <c:v>Zasadnicza szkoła zawodowa</c:v>
                </c:pt>
                <c:pt idx="1">
                  <c:v>Liceum ogólnokształcące</c:v>
                </c:pt>
                <c:pt idx="2">
                  <c:v>Technikum</c:v>
                </c:pt>
                <c:pt idx="3">
                  <c:v>Pozostałe </c:v>
                </c:pt>
                <c:pt idx="4">
                  <c:v>Szkoła policealna</c:v>
                </c:pt>
                <c:pt idx="5">
                  <c:v>Szkoła specjalna</c:v>
                </c:pt>
              </c:strCache>
            </c:strRef>
          </c:cat>
          <c:val>
            <c:numRef>
              <c:f>'wrzesień 2013'!$D$20:$I$20</c:f>
              <c:numCache>
                <c:formatCode>0.00</c:formatCode>
                <c:ptCount val="6"/>
                <c:pt idx="0">
                  <c:v>22.094699054057596</c:v>
                </c:pt>
                <c:pt idx="1">
                  <c:v>42.784896365589709</c:v>
                </c:pt>
                <c:pt idx="2">
                  <c:v>29.279668789141287</c:v>
                </c:pt>
                <c:pt idx="3">
                  <c:v>2.06</c:v>
                </c:pt>
                <c:pt idx="4">
                  <c:v>3.3199696040667512</c:v>
                </c:pt>
                <c:pt idx="5">
                  <c:v>0.46380001572203583</c:v>
                </c:pt>
              </c:numCache>
            </c:numRef>
          </c:val>
        </c:ser>
        <c:dLbls/>
      </c:pie3DChart>
    </c:plotArea>
    <c:legend>
      <c:legendPos val="b"/>
      <c:txPr>
        <a:bodyPr/>
        <a:lstStyle/>
        <a:p>
          <a:pPr>
            <a:defRPr>
              <a:latin typeface="Arial" pitchFamily="34" charset="0"/>
              <a:cs typeface="Arial" pitchFamily="34" charset="0"/>
            </a:defRPr>
          </a:pPr>
          <a:endParaRPr lang="pl-PL"/>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percentStacked"/>
        <c:ser>
          <c:idx val="0"/>
          <c:order val="0"/>
          <c:tx>
            <c:strRef>
              <c:f>Płeć_studenci!$A$112</c:f>
              <c:strCache>
                <c:ptCount val="1"/>
                <c:pt idx="0">
                  <c:v>Mężczyźni</c:v>
                </c:pt>
              </c:strCache>
            </c:strRef>
          </c:tx>
          <c:dLbls>
            <c:txPr>
              <a:bodyPr/>
              <a:lstStyle/>
              <a:p>
                <a:pPr>
                  <a:defRPr sz="900" baseline="0">
                    <a:latin typeface="Arial" pitchFamily="34" charset="0"/>
                  </a:defRPr>
                </a:pPr>
                <a:endParaRPr lang="pl-PL"/>
              </a:p>
            </c:txPr>
            <c:showVal val="1"/>
          </c:dLbls>
          <c:cat>
            <c:strRef>
              <c:f>Płeć_studenci!$B$111:$N$111</c:f>
              <c:strCache>
                <c:ptCount val="13"/>
                <c:pt idx="0">
                  <c:v>ogółem</c:v>
                </c:pt>
                <c:pt idx="1">
                  <c:v>pedagogiczne</c:v>
                </c:pt>
                <c:pt idx="2">
                  <c:v>humanistyczne</c:v>
                </c:pt>
                <c:pt idx="3">
                  <c:v>społeczne</c:v>
                </c:pt>
                <c:pt idx="4">
                  <c:v>medyczne</c:v>
                </c:pt>
                <c:pt idx="5">
                  <c:v>rolnicze, leśne i rybactwa</c:v>
                </c:pt>
                <c:pt idx="6">
                  <c:v>informatyczne</c:v>
                </c:pt>
                <c:pt idx="7">
                  <c:v>inżynieryjno-techniczne</c:v>
                </c:pt>
                <c:pt idx="8">
                  <c:v>produkcja i przetwórstwo</c:v>
                </c:pt>
                <c:pt idx="9">
                  <c:v>architekrtura i budownictwo</c:v>
                </c:pt>
                <c:pt idx="10">
                  <c:v>usługi dla ludności</c:v>
                </c:pt>
                <c:pt idx="11">
                  <c:v>usługi transportowe</c:v>
                </c:pt>
                <c:pt idx="12">
                  <c:v>ekonomia i administracja</c:v>
                </c:pt>
              </c:strCache>
            </c:strRef>
          </c:cat>
          <c:val>
            <c:numRef>
              <c:f>Płeć_studenci!$B$112:$N$112</c:f>
              <c:numCache>
                <c:formatCode>0.0</c:formatCode>
                <c:ptCount val="13"/>
                <c:pt idx="0">
                  <c:v>40.002791152048005</c:v>
                </c:pt>
                <c:pt idx="1">
                  <c:v>17.36667939417072</c:v>
                </c:pt>
                <c:pt idx="2">
                  <c:v>28.492100735178994</c:v>
                </c:pt>
                <c:pt idx="3">
                  <c:v>31.253738996666929</c:v>
                </c:pt>
                <c:pt idx="4">
                  <c:v>24.531121572143729</c:v>
                </c:pt>
                <c:pt idx="5">
                  <c:v>54.631379962192817</c:v>
                </c:pt>
                <c:pt idx="6">
                  <c:v>86.965376782077399</c:v>
                </c:pt>
                <c:pt idx="7">
                  <c:v>80.376949378700658</c:v>
                </c:pt>
                <c:pt idx="8">
                  <c:v>45.108695652174013</c:v>
                </c:pt>
                <c:pt idx="9">
                  <c:v>56.795050888046312</c:v>
                </c:pt>
                <c:pt idx="10">
                  <c:v>29.946087240646929</c:v>
                </c:pt>
                <c:pt idx="11">
                  <c:v>72.063702720637011</c:v>
                </c:pt>
                <c:pt idx="12">
                  <c:v>38.850870184458245</c:v>
                </c:pt>
              </c:numCache>
            </c:numRef>
          </c:val>
        </c:ser>
        <c:ser>
          <c:idx val="1"/>
          <c:order val="1"/>
          <c:tx>
            <c:strRef>
              <c:f>Płeć_studenci!$A$113</c:f>
              <c:strCache>
                <c:ptCount val="1"/>
                <c:pt idx="0">
                  <c:v>Kobiety</c:v>
                </c:pt>
              </c:strCache>
            </c:strRef>
          </c:tx>
          <c:dLbls>
            <c:txPr>
              <a:bodyPr/>
              <a:lstStyle/>
              <a:p>
                <a:pPr>
                  <a:defRPr sz="900" baseline="0">
                    <a:latin typeface="Arial" pitchFamily="34" charset="0"/>
                  </a:defRPr>
                </a:pPr>
                <a:endParaRPr lang="pl-PL"/>
              </a:p>
            </c:txPr>
            <c:showVal val="1"/>
          </c:dLbls>
          <c:cat>
            <c:strRef>
              <c:f>Płeć_studenci!$B$111:$N$111</c:f>
              <c:strCache>
                <c:ptCount val="13"/>
                <c:pt idx="0">
                  <c:v>ogółem</c:v>
                </c:pt>
                <c:pt idx="1">
                  <c:v>pedagogiczne</c:v>
                </c:pt>
                <c:pt idx="2">
                  <c:v>humanistyczne</c:v>
                </c:pt>
                <c:pt idx="3">
                  <c:v>społeczne</c:v>
                </c:pt>
                <c:pt idx="4">
                  <c:v>medyczne</c:v>
                </c:pt>
                <c:pt idx="5">
                  <c:v>rolnicze, leśne i rybactwa</c:v>
                </c:pt>
                <c:pt idx="6">
                  <c:v>informatyczne</c:v>
                </c:pt>
                <c:pt idx="7">
                  <c:v>inżynieryjno-techniczne</c:v>
                </c:pt>
                <c:pt idx="8">
                  <c:v>produkcja i przetwórstwo</c:v>
                </c:pt>
                <c:pt idx="9">
                  <c:v>architekrtura i budownictwo</c:v>
                </c:pt>
                <c:pt idx="10">
                  <c:v>usługi dla ludności</c:v>
                </c:pt>
                <c:pt idx="11">
                  <c:v>usługi transportowe</c:v>
                </c:pt>
                <c:pt idx="12">
                  <c:v>ekonomia i administracja</c:v>
                </c:pt>
              </c:strCache>
            </c:strRef>
          </c:cat>
          <c:val>
            <c:numRef>
              <c:f>Płeć_studenci!$B$113:$N$113</c:f>
              <c:numCache>
                <c:formatCode>0.0</c:formatCode>
                <c:ptCount val="13"/>
                <c:pt idx="0">
                  <c:v>59.99720884795201</c:v>
                </c:pt>
                <c:pt idx="1">
                  <c:v>82.633320605829198</c:v>
                </c:pt>
                <c:pt idx="2">
                  <c:v>71.507899264820907</c:v>
                </c:pt>
                <c:pt idx="3">
                  <c:v>68.746261003333359</c:v>
                </c:pt>
                <c:pt idx="4">
                  <c:v>75.468878427855884</c:v>
                </c:pt>
                <c:pt idx="5">
                  <c:v>45.368620037807176</c:v>
                </c:pt>
                <c:pt idx="6">
                  <c:v>13.034623217922602</c:v>
                </c:pt>
                <c:pt idx="7">
                  <c:v>19.623050621299331</c:v>
                </c:pt>
                <c:pt idx="8">
                  <c:v>54.891304347826086</c:v>
                </c:pt>
                <c:pt idx="9">
                  <c:v>43.204949111953702</c:v>
                </c:pt>
                <c:pt idx="10">
                  <c:v>70.05391275935304</c:v>
                </c:pt>
                <c:pt idx="11">
                  <c:v>27.936297279362858</c:v>
                </c:pt>
                <c:pt idx="12">
                  <c:v>61.149129815541762</c:v>
                </c:pt>
              </c:numCache>
            </c:numRef>
          </c:val>
        </c:ser>
        <c:dLbls/>
        <c:overlap val="100"/>
        <c:axId val="100867456"/>
        <c:axId val="100869248"/>
      </c:barChart>
      <c:catAx>
        <c:axId val="100867456"/>
        <c:scaling>
          <c:orientation val="minMax"/>
        </c:scaling>
        <c:axPos val="b"/>
        <c:tickLblPos val="nextTo"/>
        <c:txPr>
          <a:bodyPr/>
          <a:lstStyle/>
          <a:p>
            <a:pPr>
              <a:defRPr sz="800" baseline="0">
                <a:latin typeface="Arial" pitchFamily="34" charset="0"/>
              </a:defRPr>
            </a:pPr>
            <a:endParaRPr lang="pl-PL"/>
          </a:p>
        </c:txPr>
        <c:crossAx val="100869248"/>
        <c:crosses val="autoZero"/>
        <c:auto val="1"/>
        <c:lblAlgn val="ctr"/>
        <c:lblOffset val="100"/>
      </c:catAx>
      <c:valAx>
        <c:axId val="100869248"/>
        <c:scaling>
          <c:orientation val="minMax"/>
        </c:scaling>
        <c:axPos val="l"/>
        <c:majorGridlines/>
        <c:numFmt formatCode="0%" sourceLinked="1"/>
        <c:tickLblPos val="nextTo"/>
        <c:crossAx val="100867456"/>
        <c:crosses val="autoZero"/>
        <c:crossBetween val="between"/>
      </c:valAx>
    </c:plotArea>
    <c:legend>
      <c:legendPos val="b"/>
      <c:txPr>
        <a:bodyPr/>
        <a:lstStyle/>
        <a:p>
          <a:pPr>
            <a:defRPr sz="800" baseline="0">
              <a:latin typeface="Arial" pitchFamily="34" charset="0"/>
            </a:defRPr>
          </a:pPr>
          <a:endParaRPr lang="pl-PL"/>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chart>
    <c:plotArea>
      <c:layout/>
      <c:pieChart>
        <c:varyColors val="1"/>
        <c:ser>
          <c:idx val="0"/>
          <c:order val="0"/>
          <c:dLbls>
            <c:txPr>
              <a:bodyPr/>
              <a:lstStyle/>
              <a:p>
                <a:pPr>
                  <a:defRPr>
                    <a:latin typeface="Arial" pitchFamily="34" charset="0"/>
                    <a:cs typeface="Arial" pitchFamily="34" charset="0"/>
                  </a:defRPr>
                </a:pPr>
                <a:endParaRPr lang="pl-PL"/>
              </a:p>
            </c:txPr>
            <c:showVal val="1"/>
            <c:showLeaderLines val="1"/>
          </c:dLbls>
          <c:cat>
            <c:strRef>
              <c:f>Arkusz11!$H$15:$H$18</c:f>
              <c:strCache>
                <c:ptCount val="4"/>
                <c:pt idx="0">
                  <c:v>trudno powiedzieć</c:v>
                </c:pt>
                <c:pt idx="1">
                  <c:v>tak, mam takie plany</c:v>
                </c:pt>
                <c:pt idx="2">
                  <c:v>być może, jeśli nie znajdę pracy w kraju</c:v>
                </c:pt>
                <c:pt idx="3">
                  <c:v>nie, planuję pracować w Polsce</c:v>
                </c:pt>
              </c:strCache>
            </c:strRef>
          </c:cat>
          <c:val>
            <c:numRef>
              <c:f>Arkusz11!$I$15:$I$18</c:f>
              <c:numCache>
                <c:formatCode>General</c:formatCode>
                <c:ptCount val="4"/>
                <c:pt idx="0">
                  <c:v>23.06</c:v>
                </c:pt>
                <c:pt idx="1">
                  <c:v>11.31</c:v>
                </c:pt>
                <c:pt idx="2">
                  <c:v>43.839999999999996</c:v>
                </c:pt>
                <c:pt idx="3">
                  <c:v>21.77</c:v>
                </c:pt>
              </c:numCache>
            </c:numRef>
          </c:val>
        </c:ser>
        <c:dLbls/>
        <c:firstSliceAng val="0"/>
      </c:pieChart>
    </c:plotArea>
    <c:legend>
      <c:legendPos val="r"/>
      <c:txPr>
        <a:bodyPr/>
        <a:lstStyle/>
        <a:p>
          <a:pPr>
            <a:defRPr>
              <a:latin typeface="Arial" pitchFamily="34" charset="0"/>
              <a:cs typeface="Arial" pitchFamily="34" charset="0"/>
            </a:defRPr>
          </a:pPr>
          <a:endParaRPr lang="pl-PL"/>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tx>
            <c:strRef>
              <c:f>DATA!$C$29</c:f>
              <c:strCache>
                <c:ptCount val="1"/>
                <c:pt idx="0">
                  <c:v>aktywni zawodowo pracujący</c:v>
                </c:pt>
              </c:strCache>
            </c:strRef>
          </c:tx>
          <c:dLbls>
            <c:dLbl>
              <c:idx val="9"/>
              <c:tx>
                <c:rich>
                  <a:bodyPr/>
                  <a:lstStyle/>
                  <a:p>
                    <a:r>
                      <a:rPr lang="en-US"/>
                      <a:t>47,7</a:t>
                    </a:r>
                    <a:r>
                      <a:rPr lang="pl-PL"/>
                      <a:t>%</a:t>
                    </a:r>
                    <a:endParaRPr lang="en-US"/>
                  </a:p>
                </c:rich>
              </c:tx>
              <c:showVal val="1"/>
            </c:dLbl>
            <c:delete val="1"/>
            <c:txPr>
              <a:bodyPr/>
              <a:lstStyle/>
              <a:p>
                <a:pPr>
                  <a:defRPr b="1"/>
                </a:pPr>
                <a:endParaRPr lang="pl-PL"/>
              </a:p>
            </c:txPr>
          </c:dLbls>
          <c:cat>
            <c:strRef>
              <c:f>DATA!$B$30:$B$45</c:f>
              <c:strCache>
                <c:ptCount val="16"/>
                <c:pt idx="0">
                  <c:v> ŁÓDZKIE</c:v>
                </c:pt>
                <c:pt idx="1">
                  <c:v> MAZOWIECKIE</c:v>
                </c:pt>
                <c:pt idx="2">
                  <c:v> MAŁOPOLSKIE </c:v>
                </c:pt>
                <c:pt idx="3">
                  <c:v> ŚLĄSKIE </c:v>
                </c:pt>
                <c:pt idx="4">
                  <c:v> LUBELSKIE</c:v>
                </c:pt>
                <c:pt idx="5">
                  <c:v> PODKARPACKIE </c:v>
                </c:pt>
                <c:pt idx="6">
                  <c:v> PODLASKIE</c:v>
                </c:pt>
                <c:pt idx="7">
                  <c:v> ŚWIĘTOKRZYSKIE</c:v>
                </c:pt>
                <c:pt idx="8">
                  <c:v> LUBUSKIE</c:v>
                </c:pt>
                <c:pt idx="9">
                  <c:v> WIELKOPOLSKIE</c:v>
                </c:pt>
                <c:pt idx="10">
                  <c:v> ZACHODNIOPOMORSKIE</c:v>
                </c:pt>
                <c:pt idx="11">
                  <c:v> DOLNOŚLĄSKIE</c:v>
                </c:pt>
                <c:pt idx="12">
                  <c:v> OPOLSKIE</c:v>
                </c:pt>
                <c:pt idx="13">
                  <c:v> KUJAWSKO-POMORSKIE</c:v>
                </c:pt>
                <c:pt idx="14">
                  <c:v> POMORSKIE</c:v>
                </c:pt>
                <c:pt idx="15">
                  <c:v> WARMIŃSKO-MAZURSKIE</c:v>
                </c:pt>
              </c:strCache>
            </c:strRef>
          </c:cat>
          <c:val>
            <c:numRef>
              <c:f>DATA!$C$30:$C$45</c:f>
              <c:numCache>
                <c:formatCode>0.0</c:formatCode>
                <c:ptCount val="16"/>
                <c:pt idx="0">
                  <c:v>45.108695652174013</c:v>
                </c:pt>
                <c:pt idx="1">
                  <c:v>46.36542239685658</c:v>
                </c:pt>
                <c:pt idx="2">
                  <c:v>42.060085836910012</c:v>
                </c:pt>
                <c:pt idx="3">
                  <c:v>45.700824499410942</c:v>
                </c:pt>
                <c:pt idx="4">
                  <c:v>38.616071428571431</c:v>
                </c:pt>
                <c:pt idx="5">
                  <c:v>34.229828850855895</c:v>
                </c:pt>
                <c:pt idx="6">
                  <c:v>39.234449760765443</c:v>
                </c:pt>
                <c:pt idx="7">
                  <c:v>40.148698884758367</c:v>
                </c:pt>
                <c:pt idx="8">
                  <c:v>40.983606557376866</c:v>
                </c:pt>
                <c:pt idx="9">
                  <c:v>47.663551401869157</c:v>
                </c:pt>
                <c:pt idx="10">
                  <c:v>39.163498098859421</c:v>
                </c:pt>
                <c:pt idx="11">
                  <c:v>43.096234309623426</c:v>
                </c:pt>
                <c:pt idx="12">
                  <c:v>42.10526315789474</c:v>
                </c:pt>
                <c:pt idx="13">
                  <c:v>41.160949868073963</c:v>
                </c:pt>
                <c:pt idx="14">
                  <c:v>44.28904428904417</c:v>
                </c:pt>
                <c:pt idx="15">
                  <c:v>36.53136531365314</c:v>
                </c:pt>
              </c:numCache>
            </c:numRef>
          </c:val>
        </c:ser>
        <c:ser>
          <c:idx val="1"/>
          <c:order val="1"/>
          <c:tx>
            <c:strRef>
              <c:f>DATA!$D$29</c:f>
              <c:strCache>
                <c:ptCount val="1"/>
                <c:pt idx="0">
                  <c:v>aktywni zawodowo bezrobotni</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tx>
                <c:rich>
                  <a:bodyPr/>
                  <a:lstStyle/>
                  <a:p>
                    <a:r>
                      <a:rPr lang="en-US"/>
                      <a:t>8,6</a:t>
                    </a:r>
                    <a:r>
                      <a:rPr lang="pl-PL"/>
                      <a:t>%</a:t>
                    </a:r>
                    <a:endParaRPr lang="en-US"/>
                  </a:p>
                </c:rich>
              </c:tx>
              <c:showVal val="1"/>
            </c:dLbl>
            <c:dLbl>
              <c:idx val="10"/>
              <c:delete val="1"/>
            </c:dLbl>
            <c:dLbl>
              <c:idx val="11"/>
              <c:delete val="1"/>
            </c:dLbl>
            <c:dLbl>
              <c:idx val="12"/>
              <c:delete val="1"/>
            </c:dLbl>
            <c:dLbl>
              <c:idx val="13"/>
              <c:delete val="1"/>
            </c:dLbl>
            <c:dLbl>
              <c:idx val="14"/>
              <c:delete val="1"/>
            </c:dLbl>
            <c:dLbl>
              <c:idx val="15"/>
              <c:delete val="1"/>
            </c:dLbl>
            <c:txPr>
              <a:bodyPr/>
              <a:lstStyle/>
              <a:p>
                <a:pPr>
                  <a:defRPr b="1"/>
                </a:pPr>
                <a:endParaRPr lang="pl-PL"/>
              </a:p>
            </c:txPr>
            <c:showVal val="1"/>
          </c:dLbls>
          <c:cat>
            <c:strRef>
              <c:f>DATA!$B$30:$B$45</c:f>
              <c:strCache>
                <c:ptCount val="16"/>
                <c:pt idx="0">
                  <c:v> ŁÓDZKIE</c:v>
                </c:pt>
                <c:pt idx="1">
                  <c:v> MAZOWIECKIE</c:v>
                </c:pt>
                <c:pt idx="2">
                  <c:v> MAŁOPOLSKIE </c:v>
                </c:pt>
                <c:pt idx="3">
                  <c:v> ŚLĄSKIE </c:v>
                </c:pt>
                <c:pt idx="4">
                  <c:v> LUBELSKIE</c:v>
                </c:pt>
                <c:pt idx="5">
                  <c:v> PODKARPACKIE </c:v>
                </c:pt>
                <c:pt idx="6">
                  <c:v> PODLASKIE</c:v>
                </c:pt>
                <c:pt idx="7">
                  <c:v> ŚWIĘTOKRZYSKIE</c:v>
                </c:pt>
                <c:pt idx="8">
                  <c:v> LUBUSKIE</c:v>
                </c:pt>
                <c:pt idx="9">
                  <c:v> WIELKOPOLSKIE</c:v>
                </c:pt>
                <c:pt idx="10">
                  <c:v> ZACHODNIOPOMORSKIE</c:v>
                </c:pt>
                <c:pt idx="11">
                  <c:v> DOLNOŚLĄSKIE</c:v>
                </c:pt>
                <c:pt idx="12">
                  <c:v> OPOLSKIE</c:v>
                </c:pt>
                <c:pt idx="13">
                  <c:v> KUJAWSKO-POMORSKIE</c:v>
                </c:pt>
                <c:pt idx="14">
                  <c:v> POMORSKIE</c:v>
                </c:pt>
                <c:pt idx="15">
                  <c:v> WARMIŃSKO-MAZURSKIE</c:v>
                </c:pt>
              </c:strCache>
            </c:strRef>
          </c:cat>
          <c:val>
            <c:numRef>
              <c:f>DATA!$D$30:$D$45</c:f>
              <c:numCache>
                <c:formatCode>0.0</c:formatCode>
                <c:ptCount val="16"/>
                <c:pt idx="0">
                  <c:v>10.144927536231851</c:v>
                </c:pt>
                <c:pt idx="1">
                  <c:v>7.2691552062868245</c:v>
                </c:pt>
                <c:pt idx="2">
                  <c:v>11.015736766809768</c:v>
                </c:pt>
                <c:pt idx="3">
                  <c:v>9.4228504122497068</c:v>
                </c:pt>
                <c:pt idx="4">
                  <c:v>11.160714285714286</c:v>
                </c:pt>
                <c:pt idx="5">
                  <c:v>14.914425427872848</c:v>
                </c:pt>
                <c:pt idx="6">
                  <c:v>9.0909090909091006</c:v>
                </c:pt>
                <c:pt idx="7">
                  <c:v>13.75464684014873</c:v>
                </c:pt>
                <c:pt idx="8">
                  <c:v>9.8360655737704921</c:v>
                </c:pt>
                <c:pt idx="9">
                  <c:v>8.5669781931464151</c:v>
                </c:pt>
                <c:pt idx="10">
                  <c:v>9.8859315589354022</c:v>
                </c:pt>
                <c:pt idx="11">
                  <c:v>10.041841004184098</c:v>
                </c:pt>
                <c:pt idx="12">
                  <c:v>9.2105263157894743</c:v>
                </c:pt>
                <c:pt idx="13">
                  <c:v>12.137203166226913</c:v>
                </c:pt>
                <c:pt idx="14">
                  <c:v>8.6247086247086209</c:v>
                </c:pt>
                <c:pt idx="15">
                  <c:v>9.5940959409593987</c:v>
                </c:pt>
              </c:numCache>
            </c:numRef>
          </c:val>
        </c:ser>
        <c:ser>
          <c:idx val="2"/>
          <c:order val="2"/>
          <c:tx>
            <c:strRef>
              <c:f>DATA!$E$29</c:f>
              <c:strCache>
                <c:ptCount val="1"/>
                <c:pt idx="0">
                  <c:v>bierni zawodowo</c:v>
                </c:pt>
              </c:strCache>
            </c:strRef>
          </c:tx>
          <c:dLbls>
            <c:dLbl>
              <c:idx val="9"/>
              <c:tx>
                <c:rich>
                  <a:bodyPr/>
                  <a:lstStyle/>
                  <a:p>
                    <a:r>
                      <a:rPr lang="en-US"/>
                      <a:t>43,6</a:t>
                    </a:r>
                    <a:r>
                      <a:rPr lang="pl-PL"/>
                      <a:t>%</a:t>
                    </a:r>
                    <a:endParaRPr lang="en-US"/>
                  </a:p>
                </c:rich>
              </c:tx>
              <c:showVal val="1"/>
            </c:dLbl>
            <c:delete val="1"/>
            <c:txPr>
              <a:bodyPr/>
              <a:lstStyle/>
              <a:p>
                <a:pPr>
                  <a:defRPr b="1"/>
                </a:pPr>
                <a:endParaRPr lang="pl-PL"/>
              </a:p>
            </c:txPr>
          </c:dLbls>
          <c:cat>
            <c:strRef>
              <c:f>DATA!$B$30:$B$45</c:f>
              <c:strCache>
                <c:ptCount val="16"/>
                <c:pt idx="0">
                  <c:v> ŁÓDZKIE</c:v>
                </c:pt>
                <c:pt idx="1">
                  <c:v> MAZOWIECKIE</c:v>
                </c:pt>
                <c:pt idx="2">
                  <c:v> MAŁOPOLSKIE </c:v>
                </c:pt>
                <c:pt idx="3">
                  <c:v> ŚLĄSKIE </c:v>
                </c:pt>
                <c:pt idx="4">
                  <c:v> LUBELSKIE</c:v>
                </c:pt>
                <c:pt idx="5">
                  <c:v> PODKARPACKIE </c:v>
                </c:pt>
                <c:pt idx="6">
                  <c:v> PODLASKIE</c:v>
                </c:pt>
                <c:pt idx="7">
                  <c:v> ŚWIĘTOKRZYSKIE</c:v>
                </c:pt>
                <c:pt idx="8">
                  <c:v> LUBUSKIE</c:v>
                </c:pt>
                <c:pt idx="9">
                  <c:v> WIELKOPOLSKIE</c:v>
                </c:pt>
                <c:pt idx="10">
                  <c:v> ZACHODNIOPOMORSKIE</c:v>
                </c:pt>
                <c:pt idx="11">
                  <c:v> DOLNOŚLĄSKIE</c:v>
                </c:pt>
                <c:pt idx="12">
                  <c:v> OPOLSKIE</c:v>
                </c:pt>
                <c:pt idx="13">
                  <c:v> KUJAWSKO-POMORSKIE</c:v>
                </c:pt>
                <c:pt idx="14">
                  <c:v> POMORSKIE</c:v>
                </c:pt>
                <c:pt idx="15">
                  <c:v> WARMIŃSKO-MAZURSKIE</c:v>
                </c:pt>
              </c:strCache>
            </c:strRef>
          </c:cat>
          <c:val>
            <c:numRef>
              <c:f>DATA!$E$30:$E$45</c:f>
              <c:numCache>
                <c:formatCode>0.0</c:formatCode>
                <c:ptCount val="16"/>
                <c:pt idx="0">
                  <c:v>44.746376811594203</c:v>
                </c:pt>
                <c:pt idx="1">
                  <c:v>46.36542239685658</c:v>
                </c:pt>
                <c:pt idx="2">
                  <c:v>47.067238912732478</c:v>
                </c:pt>
                <c:pt idx="3">
                  <c:v>44.876325088339222</c:v>
                </c:pt>
                <c:pt idx="4">
                  <c:v>50.223214285714285</c:v>
                </c:pt>
                <c:pt idx="5">
                  <c:v>50.855745721271397</c:v>
                </c:pt>
                <c:pt idx="6">
                  <c:v>51.674641148325357</c:v>
                </c:pt>
                <c:pt idx="7">
                  <c:v>46.096654275092924</c:v>
                </c:pt>
                <c:pt idx="8">
                  <c:v>49.180327868852444</c:v>
                </c:pt>
                <c:pt idx="9">
                  <c:v>43.613707165109034</c:v>
                </c:pt>
                <c:pt idx="10">
                  <c:v>50.950570342205332</c:v>
                </c:pt>
                <c:pt idx="11">
                  <c:v>46.861924686192275</c:v>
                </c:pt>
                <c:pt idx="12">
                  <c:v>48.684210526315788</c:v>
                </c:pt>
                <c:pt idx="13">
                  <c:v>46.701846965699055</c:v>
                </c:pt>
                <c:pt idx="14">
                  <c:v>47.086247086246864</c:v>
                </c:pt>
                <c:pt idx="15">
                  <c:v>53.874538745387454</c:v>
                </c:pt>
              </c:numCache>
            </c:numRef>
          </c:val>
        </c:ser>
        <c:dLbls/>
        <c:axId val="101268096"/>
        <c:axId val="101310848"/>
      </c:barChart>
      <c:catAx>
        <c:axId val="101268096"/>
        <c:scaling>
          <c:orientation val="minMax"/>
        </c:scaling>
        <c:axPos val="b"/>
        <c:tickLblPos val="nextTo"/>
        <c:crossAx val="101310848"/>
        <c:crosses val="autoZero"/>
        <c:auto val="1"/>
        <c:lblAlgn val="ctr"/>
        <c:lblOffset val="100"/>
      </c:catAx>
      <c:valAx>
        <c:axId val="101310848"/>
        <c:scaling>
          <c:orientation val="minMax"/>
        </c:scaling>
        <c:axPos val="l"/>
        <c:numFmt formatCode="0.0" sourceLinked="1"/>
        <c:tickLblPos val="nextTo"/>
        <c:crossAx val="101268096"/>
        <c:crosses val="autoZero"/>
        <c:crossBetween val="between"/>
      </c:valAx>
    </c:plotArea>
    <c:legend>
      <c:legendPos val="b"/>
    </c:legend>
    <c:plotVisOnly val="1"/>
    <c:dispBlanksAs val="gap"/>
  </c:chart>
  <c:txPr>
    <a:bodyPr/>
    <a:lstStyle/>
    <a:p>
      <a:pPr>
        <a:defRPr sz="900">
          <a:latin typeface="Arial" pitchFamily="34" charset="0"/>
          <a:cs typeface="Arial" pitchFamily="34" charset="0"/>
        </a:defRPr>
      </a:pPr>
      <a:endParaRPr lang="pl-PL"/>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pl-PL"/>
  <c:chart>
    <c:plotArea>
      <c:layout/>
      <c:barChart>
        <c:barDir val="bar"/>
        <c:grouping val="clustered"/>
        <c:ser>
          <c:idx val="0"/>
          <c:order val="0"/>
          <c:tx>
            <c:strRef>
              <c:f>DATA!$C$29</c:f>
              <c:strCache>
                <c:ptCount val="1"/>
                <c:pt idx="0">
                  <c:v>24 lata i mniej</c:v>
                </c:pt>
              </c:strCache>
            </c:strRef>
          </c:tx>
          <c:dLbls>
            <c:dLbl>
              <c:idx val="0"/>
              <c:layout>
                <c:manualLayout>
                  <c:x val="-6.4000000000000237E-3"/>
                  <c:y val="4.7281323877068574E-3"/>
                </c:manualLayout>
              </c:layout>
              <c:showVal val="1"/>
            </c:dLbl>
            <c:dLbl>
              <c:idx val="1"/>
              <c:layout>
                <c:manualLayout>
                  <c:x val="-6.4000000000000237E-3"/>
                  <c:y val="4.7281323877068574E-3"/>
                </c:manualLayout>
              </c:layout>
              <c:showVal val="1"/>
            </c:dLbl>
            <c:dLbl>
              <c:idx val="2"/>
              <c:layout>
                <c:manualLayout>
                  <c:x val="-4.8000000000000004E-3"/>
                  <c:y val="4.7281323877069415E-3"/>
                </c:manualLayout>
              </c:layout>
              <c:showVal val="1"/>
            </c:dLbl>
            <c:dLbl>
              <c:idx val="3"/>
              <c:layout>
                <c:manualLayout>
                  <c:x val="0"/>
                  <c:y val="7.0921985815603937E-3"/>
                </c:manualLayout>
              </c:layout>
              <c:showVal val="1"/>
            </c:dLbl>
            <c:dLbl>
              <c:idx val="4"/>
              <c:layout>
                <c:manualLayout>
                  <c:x val="0"/>
                  <c:y val="7.0921985815602124E-3"/>
                </c:manualLayout>
              </c:layout>
              <c:showVal val="1"/>
            </c:dLbl>
            <c:dLbl>
              <c:idx val="5"/>
              <c:layout>
                <c:manualLayout>
                  <c:x val="0"/>
                  <c:y val="4.7281323877068574E-3"/>
                </c:manualLayout>
              </c:layout>
              <c:showVal val="1"/>
            </c:dLbl>
            <c:dLbl>
              <c:idx val="6"/>
              <c:layout>
                <c:manualLayout>
                  <c:x val="8.0000000000000227E-3"/>
                  <c:y val="7.0921985815602913E-3"/>
                </c:manualLayout>
              </c:layout>
              <c:showVal val="1"/>
            </c:dLbl>
            <c:dLbl>
              <c:idx val="7"/>
              <c:layout>
                <c:manualLayout>
                  <c:x val="9.6000000000000026E-3"/>
                  <c:y val="9.4562647754137478E-3"/>
                </c:manualLayout>
              </c:layout>
              <c:showVal val="1"/>
            </c:dLbl>
            <c:dLbl>
              <c:idx val="8"/>
              <c:layout>
                <c:manualLayout>
                  <c:x val="-1.6000000000000068E-3"/>
                  <c:y val="7.0921985815602913E-3"/>
                </c:manualLayout>
              </c:layout>
              <c:showVal val="1"/>
            </c:dLbl>
            <c:dLbl>
              <c:idx val="10"/>
              <c:layout>
                <c:manualLayout>
                  <c:x val="0"/>
                  <c:y val="9.4562647754137478E-3"/>
                </c:manualLayout>
              </c:layout>
              <c:showVal val="1"/>
            </c:dLbl>
            <c:dLbl>
              <c:idx val="11"/>
              <c:layout>
                <c:manualLayout>
                  <c:x val="0"/>
                  <c:y val="9.4562647754137478E-3"/>
                </c:manualLayout>
              </c:layout>
              <c:showVal val="1"/>
            </c:dLbl>
            <c:dLbl>
              <c:idx val="12"/>
              <c:layout>
                <c:manualLayout>
                  <c:x val="0"/>
                  <c:y val="9.4562647754137478E-3"/>
                </c:manualLayout>
              </c:layout>
              <c:showVal val="1"/>
            </c:dLbl>
            <c:dLbl>
              <c:idx val="13"/>
              <c:layout>
                <c:manualLayout>
                  <c:x val="-1.7600000000000001E-2"/>
                  <c:y val="4.7281323877068383E-3"/>
                </c:manualLayout>
              </c:layout>
              <c:showVal val="1"/>
            </c:dLbl>
            <c:dLbl>
              <c:idx val="14"/>
              <c:layout>
                <c:manualLayout>
                  <c:x val="-1.1200059261354348E-2"/>
                  <c:y val="7.0921791753460533E-3"/>
                </c:manualLayout>
              </c:layout>
              <c:showVal val="1"/>
            </c:dLbl>
            <c:dLbl>
              <c:idx val="15"/>
              <c:layout>
                <c:manualLayout>
                  <c:x val="-1.4400000000000001E-2"/>
                  <c:y val="7.0920124346159014E-3"/>
                </c:manualLayout>
              </c:layout>
              <c:showVal val="1"/>
            </c:dLbl>
            <c:showVal val="1"/>
          </c:dLbls>
          <c:cat>
            <c:strRef>
              <c:f>DATA!$B$30:$B$45</c:f>
              <c:strCache>
                <c:ptCount val="16"/>
                <c:pt idx="0">
                  <c:v> ŁÓDZKIE</c:v>
                </c:pt>
                <c:pt idx="1">
                  <c:v> MAZOWIECKIE</c:v>
                </c:pt>
                <c:pt idx="2">
                  <c:v> MAŁOPOLSKIE </c:v>
                </c:pt>
                <c:pt idx="3">
                  <c:v> ŚLĄSKIE </c:v>
                </c:pt>
                <c:pt idx="4">
                  <c:v> LUBELSKIE</c:v>
                </c:pt>
                <c:pt idx="5">
                  <c:v> PODKARPACKIE </c:v>
                </c:pt>
                <c:pt idx="6">
                  <c:v> PODLASKIE</c:v>
                </c:pt>
                <c:pt idx="7">
                  <c:v> ŚWIĘTOKRZYSKIE</c:v>
                </c:pt>
                <c:pt idx="8">
                  <c:v> LUBUSKIE</c:v>
                </c:pt>
                <c:pt idx="9">
                  <c:v> WIELKOPOLSKIE</c:v>
                </c:pt>
                <c:pt idx="10">
                  <c:v> ZACHODNIOPOMORSKIE</c:v>
                </c:pt>
                <c:pt idx="11">
                  <c:v> DOLNOŚLĄSKIE</c:v>
                </c:pt>
                <c:pt idx="12">
                  <c:v> OPOLSKIE</c:v>
                </c:pt>
                <c:pt idx="13">
                  <c:v> KUJAWSKO-POMORSKIE</c:v>
                </c:pt>
                <c:pt idx="14">
                  <c:v> POMORSKIE</c:v>
                </c:pt>
                <c:pt idx="15">
                  <c:v> WARMIŃSKO-MAZURSKIE</c:v>
                </c:pt>
              </c:strCache>
            </c:strRef>
          </c:cat>
          <c:val>
            <c:numRef>
              <c:f>DATA!$C$30:$C$45</c:f>
              <c:numCache>
                <c:formatCode>0.0</c:formatCode>
                <c:ptCount val="16"/>
                <c:pt idx="0">
                  <c:v>16.175326131402262</c:v>
                </c:pt>
                <c:pt idx="1">
                  <c:v>17.066978347151796</c:v>
                </c:pt>
                <c:pt idx="2">
                  <c:v>23.323643528710587</c:v>
                </c:pt>
                <c:pt idx="3">
                  <c:v>16.138572032108129</c:v>
                </c:pt>
                <c:pt idx="4">
                  <c:v>21.105325196580175</c:v>
                </c:pt>
                <c:pt idx="5">
                  <c:v>21.225424080510429</c:v>
                </c:pt>
                <c:pt idx="6">
                  <c:v>20.027084597046091</c:v>
                </c:pt>
                <c:pt idx="7">
                  <c:v>19.990235675291789</c:v>
                </c:pt>
                <c:pt idx="8">
                  <c:v>16.971825098235932</c:v>
                </c:pt>
                <c:pt idx="9">
                  <c:v>20.760605391073742</c:v>
                </c:pt>
                <c:pt idx="10">
                  <c:v>15.688393074201118</c:v>
                </c:pt>
                <c:pt idx="11">
                  <c:v>15.037966110525014</c:v>
                </c:pt>
                <c:pt idx="12">
                  <c:v>18.0126268494848</c:v>
                </c:pt>
                <c:pt idx="13">
                  <c:v>19.407239668320589</c:v>
                </c:pt>
                <c:pt idx="14">
                  <c:v>18.893016084381625</c:v>
                </c:pt>
                <c:pt idx="15">
                  <c:v>19.188249203869642</c:v>
                </c:pt>
              </c:numCache>
            </c:numRef>
          </c:val>
        </c:ser>
        <c:ser>
          <c:idx val="1"/>
          <c:order val="1"/>
          <c:tx>
            <c:strRef>
              <c:f>DATA!$D$29</c:f>
              <c:strCache>
                <c:ptCount val="1"/>
                <c:pt idx="0">
                  <c:v>25-34</c:v>
                </c:pt>
              </c:strCache>
            </c:strRef>
          </c:tx>
          <c:dLbls>
            <c:dLblPos val="ctr"/>
            <c:showVal val="1"/>
          </c:dLbls>
          <c:cat>
            <c:strRef>
              <c:f>DATA!$B$30:$B$45</c:f>
              <c:strCache>
                <c:ptCount val="16"/>
                <c:pt idx="0">
                  <c:v> ŁÓDZKIE</c:v>
                </c:pt>
                <c:pt idx="1">
                  <c:v> MAZOWIECKIE</c:v>
                </c:pt>
                <c:pt idx="2">
                  <c:v> MAŁOPOLSKIE </c:v>
                </c:pt>
                <c:pt idx="3">
                  <c:v> ŚLĄSKIE </c:v>
                </c:pt>
                <c:pt idx="4">
                  <c:v> LUBELSKIE</c:v>
                </c:pt>
                <c:pt idx="5">
                  <c:v> PODKARPACKIE </c:v>
                </c:pt>
                <c:pt idx="6">
                  <c:v> PODLASKIE</c:v>
                </c:pt>
                <c:pt idx="7">
                  <c:v> ŚWIĘTOKRZYSKIE</c:v>
                </c:pt>
                <c:pt idx="8">
                  <c:v> LUBUSKIE</c:v>
                </c:pt>
                <c:pt idx="9">
                  <c:v> WIELKOPOLSKIE</c:v>
                </c:pt>
                <c:pt idx="10">
                  <c:v> ZACHODNIOPOMORSKIE</c:v>
                </c:pt>
                <c:pt idx="11">
                  <c:v> DOLNOŚLĄSKIE</c:v>
                </c:pt>
                <c:pt idx="12">
                  <c:v> OPOLSKIE</c:v>
                </c:pt>
                <c:pt idx="13">
                  <c:v> KUJAWSKO-POMORSKIE</c:v>
                </c:pt>
                <c:pt idx="14">
                  <c:v> POMORSKIE</c:v>
                </c:pt>
                <c:pt idx="15">
                  <c:v> WARMIŃSKO-MAZURSKIE</c:v>
                </c:pt>
              </c:strCache>
            </c:strRef>
          </c:cat>
          <c:val>
            <c:numRef>
              <c:f>DATA!$D$30:$D$45</c:f>
              <c:numCache>
                <c:formatCode>0.0</c:formatCode>
                <c:ptCount val="16"/>
                <c:pt idx="0">
                  <c:v>26.601638241462542</c:v>
                </c:pt>
                <c:pt idx="1">
                  <c:v>27.940013277023578</c:v>
                </c:pt>
                <c:pt idx="2">
                  <c:v>28.609046790809685</c:v>
                </c:pt>
                <c:pt idx="3">
                  <c:v>28.167607635288242</c:v>
                </c:pt>
                <c:pt idx="4">
                  <c:v>32.759135196431117</c:v>
                </c:pt>
                <c:pt idx="5">
                  <c:v>30.443014991959267</c:v>
                </c:pt>
                <c:pt idx="6">
                  <c:v>29.080675422138832</c:v>
                </c:pt>
                <c:pt idx="7">
                  <c:v>29.928764812924324</c:v>
                </c:pt>
                <c:pt idx="8">
                  <c:v>27.813727949168129</c:v>
                </c:pt>
                <c:pt idx="9">
                  <c:v>29.055733539549149</c:v>
                </c:pt>
                <c:pt idx="10">
                  <c:v>26.909952009219992</c:v>
                </c:pt>
                <c:pt idx="11">
                  <c:v>26.949426275413742</c:v>
                </c:pt>
                <c:pt idx="12">
                  <c:v>26.723603687349819</c:v>
                </c:pt>
                <c:pt idx="13">
                  <c:v>28.138133137966626</c:v>
                </c:pt>
                <c:pt idx="14">
                  <c:v>27.758699232575104</c:v>
                </c:pt>
                <c:pt idx="15">
                  <c:v>27.808031206579589</c:v>
                </c:pt>
              </c:numCache>
            </c:numRef>
          </c:val>
        </c:ser>
        <c:dLbls/>
        <c:axId val="101205120"/>
        <c:axId val="101206656"/>
      </c:barChart>
      <c:catAx>
        <c:axId val="101205120"/>
        <c:scaling>
          <c:orientation val="minMax"/>
        </c:scaling>
        <c:axPos val="l"/>
        <c:tickLblPos val="nextTo"/>
        <c:crossAx val="101206656"/>
        <c:crosses val="autoZero"/>
        <c:auto val="1"/>
        <c:lblAlgn val="ctr"/>
        <c:lblOffset val="100"/>
      </c:catAx>
      <c:valAx>
        <c:axId val="101206656"/>
        <c:scaling>
          <c:orientation val="minMax"/>
        </c:scaling>
        <c:axPos val="b"/>
        <c:numFmt formatCode="0.0" sourceLinked="1"/>
        <c:tickLblPos val="nextTo"/>
        <c:crossAx val="101205120"/>
        <c:crosses val="autoZero"/>
        <c:crossBetween val="between"/>
      </c:valAx>
    </c:plotArea>
    <c:legend>
      <c:legendPos val="b"/>
    </c:legend>
    <c:plotVisOnly val="1"/>
    <c:dispBlanksAs val="gap"/>
  </c:chart>
  <c:txPr>
    <a:bodyPr/>
    <a:lstStyle/>
    <a:p>
      <a:pPr>
        <a:defRPr sz="900">
          <a:latin typeface="Arial" pitchFamily="34" charset="0"/>
          <a:cs typeface="Arial" pitchFamily="34" charset="0"/>
        </a:defRPr>
      </a:pPr>
      <a:endParaRPr lang="pl-PL"/>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pl-PL"/>
  <c:chart>
    <c:plotArea>
      <c:layout/>
      <c:barChart>
        <c:barDir val="bar"/>
        <c:grouping val="percentStacked"/>
        <c:ser>
          <c:idx val="0"/>
          <c:order val="0"/>
          <c:tx>
            <c:strRef>
              <c:f>Arkusz3!$B$3</c:f>
              <c:strCache>
                <c:ptCount val="1"/>
                <c:pt idx="0">
                  <c:v>Nie interesuje mnie w tej chwili podjęcie zatrudnienia, dlatego nie szukam pracy w ogóle</c:v>
                </c:pt>
              </c:strCache>
            </c:strRef>
          </c:tx>
          <c:spPr>
            <a:solidFill>
              <a:schemeClr val="tx2">
                <a:lumMod val="40000"/>
                <a:lumOff val="60000"/>
              </a:schemeClr>
            </a:solidFill>
          </c:spPr>
          <c:dLbls>
            <c:showVal val="1"/>
          </c:dLbls>
          <c:cat>
            <c:strRef>
              <c:f>Arkusz3!$A$4:$A$7</c:f>
              <c:strCache>
                <c:ptCount val="4"/>
                <c:pt idx="0">
                  <c:v>18-21</c:v>
                </c:pt>
                <c:pt idx="1">
                  <c:v>22-25</c:v>
                </c:pt>
                <c:pt idx="2">
                  <c:v>26-30</c:v>
                </c:pt>
                <c:pt idx="3">
                  <c:v>31-34</c:v>
                </c:pt>
              </c:strCache>
            </c:strRef>
          </c:cat>
          <c:val>
            <c:numRef>
              <c:f>Arkusz3!$B$4:$B$7</c:f>
              <c:numCache>
                <c:formatCode>0.00</c:formatCode>
                <c:ptCount val="4"/>
                <c:pt idx="0">
                  <c:v>3.1141868512110835</c:v>
                </c:pt>
                <c:pt idx="1">
                  <c:v>3.2825322391559202</c:v>
                </c:pt>
                <c:pt idx="2">
                  <c:v>6.1333333333333515</c:v>
                </c:pt>
                <c:pt idx="3">
                  <c:v>6.1971830985915455</c:v>
                </c:pt>
              </c:numCache>
            </c:numRef>
          </c:val>
        </c:ser>
        <c:ser>
          <c:idx val="1"/>
          <c:order val="1"/>
          <c:tx>
            <c:strRef>
              <c:f>Arkusz3!$C$3</c:f>
              <c:strCache>
                <c:ptCount val="1"/>
                <c:pt idx="0">
                  <c:v>Bardzo zależy mi na podjęciu pracy, dlatego szukam jej poprzez PUP i samodzielnie </c:v>
                </c:pt>
              </c:strCache>
            </c:strRef>
          </c:tx>
          <c:dLbls>
            <c:showVal val="1"/>
          </c:dLbls>
          <c:cat>
            <c:strRef>
              <c:f>Arkusz3!$A$4:$A$7</c:f>
              <c:strCache>
                <c:ptCount val="4"/>
                <c:pt idx="0">
                  <c:v>18-21</c:v>
                </c:pt>
                <c:pt idx="1">
                  <c:v>22-25</c:v>
                </c:pt>
                <c:pt idx="2">
                  <c:v>26-30</c:v>
                </c:pt>
                <c:pt idx="3">
                  <c:v>31-34</c:v>
                </c:pt>
              </c:strCache>
            </c:strRef>
          </c:cat>
          <c:val>
            <c:numRef>
              <c:f>Arkusz3!$C$4:$C$7</c:f>
              <c:numCache>
                <c:formatCode>0.00</c:formatCode>
                <c:ptCount val="4"/>
                <c:pt idx="0">
                  <c:v>79.354094579008077</c:v>
                </c:pt>
                <c:pt idx="1">
                  <c:v>73.856975381008212</c:v>
                </c:pt>
                <c:pt idx="2">
                  <c:v>68.933333333333309</c:v>
                </c:pt>
                <c:pt idx="3">
                  <c:v>62.535211267605625</c:v>
                </c:pt>
              </c:numCache>
            </c:numRef>
          </c:val>
        </c:ser>
        <c:ser>
          <c:idx val="2"/>
          <c:order val="2"/>
          <c:tx>
            <c:strRef>
              <c:f>Arkusz3!$D$3</c:f>
              <c:strCache>
                <c:ptCount val="1"/>
                <c:pt idx="0">
                  <c:v>Zależy mi na podjęciu pracy, ale nie korzystam z pomocy PUP i głównie szukam jej samodzielnie</c:v>
                </c:pt>
              </c:strCache>
            </c:strRef>
          </c:tx>
          <c:dLbls>
            <c:showVal val="1"/>
          </c:dLbls>
          <c:cat>
            <c:strRef>
              <c:f>Arkusz3!$A$4:$A$7</c:f>
              <c:strCache>
                <c:ptCount val="4"/>
                <c:pt idx="0">
                  <c:v>18-21</c:v>
                </c:pt>
                <c:pt idx="1">
                  <c:v>22-25</c:v>
                </c:pt>
                <c:pt idx="2">
                  <c:v>26-30</c:v>
                </c:pt>
                <c:pt idx="3">
                  <c:v>31-34</c:v>
                </c:pt>
              </c:strCache>
            </c:strRef>
          </c:cat>
          <c:val>
            <c:numRef>
              <c:f>Arkusz3!$D$4:$D$7</c:f>
              <c:numCache>
                <c:formatCode>0.00</c:formatCode>
                <c:ptCount val="4"/>
                <c:pt idx="0">
                  <c:v>11.764705882352942</c:v>
                </c:pt>
                <c:pt idx="1">
                  <c:v>16.881594372801803</c:v>
                </c:pt>
                <c:pt idx="2">
                  <c:v>18.8</c:v>
                </c:pt>
                <c:pt idx="3">
                  <c:v>22.253521126760564</c:v>
                </c:pt>
              </c:numCache>
            </c:numRef>
          </c:val>
        </c:ser>
        <c:ser>
          <c:idx val="3"/>
          <c:order val="3"/>
          <c:tx>
            <c:strRef>
              <c:f>Arkusz3!$E$3</c:f>
              <c:strCache>
                <c:ptCount val="1"/>
                <c:pt idx="0">
                  <c:v>Chciałbym pracować, ale sam nie szukam pracy, liczę na pomoc PUP w tym zakresie</c:v>
                </c:pt>
              </c:strCache>
            </c:strRef>
          </c:tx>
          <c:spPr>
            <a:solidFill>
              <a:schemeClr val="accent3">
                <a:lumMod val="50000"/>
              </a:schemeClr>
            </a:solidFill>
          </c:spPr>
          <c:dLbls>
            <c:showVal val="1"/>
          </c:dLbls>
          <c:cat>
            <c:strRef>
              <c:f>Arkusz3!$A$4:$A$7</c:f>
              <c:strCache>
                <c:ptCount val="4"/>
                <c:pt idx="0">
                  <c:v>18-21</c:v>
                </c:pt>
                <c:pt idx="1">
                  <c:v>22-25</c:v>
                </c:pt>
                <c:pt idx="2">
                  <c:v>26-30</c:v>
                </c:pt>
                <c:pt idx="3">
                  <c:v>31-34</c:v>
                </c:pt>
              </c:strCache>
            </c:strRef>
          </c:cat>
          <c:val>
            <c:numRef>
              <c:f>Arkusz3!$E$4:$E$7</c:f>
              <c:numCache>
                <c:formatCode>0.00</c:formatCode>
                <c:ptCount val="4"/>
                <c:pt idx="0">
                  <c:v>5.7670126874278926</c:v>
                </c:pt>
                <c:pt idx="1">
                  <c:v>5.9788980070339974</c:v>
                </c:pt>
                <c:pt idx="2">
                  <c:v>6.1333333333333515</c:v>
                </c:pt>
                <c:pt idx="3">
                  <c:v>9.0140845070422966</c:v>
                </c:pt>
              </c:numCache>
            </c:numRef>
          </c:val>
        </c:ser>
        <c:dLbls/>
        <c:overlap val="100"/>
        <c:axId val="101357440"/>
        <c:axId val="101358976"/>
      </c:barChart>
      <c:catAx>
        <c:axId val="101357440"/>
        <c:scaling>
          <c:orientation val="minMax"/>
        </c:scaling>
        <c:axPos val="l"/>
        <c:tickLblPos val="nextTo"/>
        <c:crossAx val="101358976"/>
        <c:crosses val="autoZero"/>
        <c:auto val="1"/>
        <c:lblAlgn val="ctr"/>
        <c:lblOffset val="100"/>
      </c:catAx>
      <c:valAx>
        <c:axId val="101358976"/>
        <c:scaling>
          <c:orientation val="minMax"/>
        </c:scaling>
        <c:axPos val="b"/>
        <c:numFmt formatCode="0%" sourceLinked="1"/>
        <c:tickLblPos val="nextTo"/>
        <c:crossAx val="101357440"/>
        <c:crosses val="autoZero"/>
        <c:crossBetween val="between"/>
      </c:valAx>
    </c:plotArea>
    <c:legend>
      <c:legendPos val="r"/>
      <c:layout>
        <c:manualLayout>
          <c:xMode val="edge"/>
          <c:yMode val="edge"/>
          <c:x val="0.66048898832669389"/>
          <c:y val="0.1547296026937178"/>
          <c:w val="0.33006265672861862"/>
          <c:h val="0.63288160289882789"/>
        </c:manualLayout>
      </c:layout>
      <c:txPr>
        <a:bodyPr/>
        <a:lstStyle/>
        <a:p>
          <a:pPr>
            <a:defRPr sz="1000"/>
          </a:pPr>
          <a:endParaRPr lang="pl-PL"/>
        </a:p>
      </c:txPr>
    </c:legend>
    <c:plotVisOnly val="1"/>
    <c:dispBlanksAs val="gap"/>
  </c:chart>
  <c:txPr>
    <a:bodyPr/>
    <a:lstStyle/>
    <a:p>
      <a:pPr>
        <a:defRPr sz="900">
          <a:latin typeface="Arial" pitchFamily="34" charset="0"/>
          <a:cs typeface="Arial" pitchFamily="34"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style val="3"/>
  <c:chart>
    <c:autoTitleDeleted val="1"/>
    <c:plotArea>
      <c:layout/>
      <c:barChart>
        <c:barDir val="bar"/>
        <c:grouping val="clustered"/>
        <c:ser>
          <c:idx val="0"/>
          <c:order val="0"/>
          <c:dLbls>
            <c:dLbl>
              <c:idx val="0"/>
              <c:tx>
                <c:rich>
                  <a:bodyPr/>
                  <a:lstStyle/>
                  <a:p>
                    <a:r>
                      <a:rPr lang="pl-PL" sz="900"/>
                      <a:t>4</a:t>
                    </a:r>
                    <a:r>
                      <a:rPr lang="pl-PL"/>
                      <a:t>3,6%</a:t>
                    </a:r>
                    <a:endParaRPr lang="en-US"/>
                  </a:p>
                </c:rich>
              </c:tx>
              <c:showVal val="1"/>
            </c:dLbl>
            <c:dLbl>
              <c:idx val="1"/>
              <c:tx>
                <c:rich>
                  <a:bodyPr/>
                  <a:lstStyle/>
                  <a:p>
                    <a:r>
                      <a:rPr lang="pl-PL" sz="900"/>
                      <a:t>3</a:t>
                    </a:r>
                    <a:r>
                      <a:rPr lang="pl-PL"/>
                      <a:t>7,4%</a:t>
                    </a:r>
                    <a:endParaRPr lang="en-US"/>
                  </a:p>
                </c:rich>
              </c:tx>
              <c:showVal val="1"/>
            </c:dLbl>
            <c:dLbl>
              <c:idx val="2"/>
              <c:tx>
                <c:rich>
                  <a:bodyPr/>
                  <a:lstStyle/>
                  <a:p>
                    <a:r>
                      <a:rPr lang="pl-PL" sz="900"/>
                      <a:t>3</a:t>
                    </a:r>
                    <a:r>
                      <a:rPr lang="pl-PL"/>
                      <a:t>1,8%</a:t>
                    </a:r>
                    <a:endParaRPr lang="en-US"/>
                  </a:p>
                </c:rich>
              </c:tx>
              <c:showVal val="1"/>
            </c:dLbl>
            <c:dLbl>
              <c:idx val="3"/>
              <c:tx>
                <c:rich>
                  <a:bodyPr/>
                  <a:lstStyle/>
                  <a:p>
                    <a:r>
                      <a:rPr lang="pl-PL" sz="900"/>
                      <a:t>3</a:t>
                    </a:r>
                    <a:r>
                      <a:rPr lang="pl-PL"/>
                      <a:t>0,0%</a:t>
                    </a:r>
                    <a:endParaRPr lang="en-US"/>
                  </a:p>
                </c:rich>
              </c:tx>
              <c:showVal val="1"/>
            </c:dLbl>
            <c:dLbl>
              <c:idx val="4"/>
              <c:tx>
                <c:rich>
                  <a:bodyPr/>
                  <a:lstStyle/>
                  <a:p>
                    <a:r>
                      <a:rPr lang="pl-PL" sz="900"/>
                      <a:t>1</a:t>
                    </a:r>
                    <a:r>
                      <a:rPr lang="pl-PL"/>
                      <a:t>0,6%</a:t>
                    </a:r>
                    <a:endParaRPr lang="en-US"/>
                  </a:p>
                </c:rich>
              </c:tx>
              <c:showVal val="1"/>
            </c:dLbl>
            <c:dLbl>
              <c:idx val="5"/>
              <c:tx>
                <c:rich>
                  <a:bodyPr/>
                  <a:lstStyle/>
                  <a:p>
                    <a:r>
                      <a:rPr lang="pl-PL" sz="900"/>
                      <a:t>8</a:t>
                    </a:r>
                    <a:r>
                      <a:rPr lang="pl-PL"/>
                      <a:t>,9%</a:t>
                    </a:r>
                    <a:endParaRPr lang="en-US"/>
                  </a:p>
                </c:rich>
              </c:tx>
              <c:showVal val="1"/>
            </c:dLbl>
            <c:dLbl>
              <c:idx val="6"/>
              <c:tx>
                <c:rich>
                  <a:bodyPr/>
                  <a:lstStyle/>
                  <a:p>
                    <a:r>
                      <a:rPr lang="pl-PL" sz="900"/>
                      <a:t>4</a:t>
                    </a:r>
                    <a:r>
                      <a:rPr lang="pl-PL"/>
                      <a:t>,4%</a:t>
                    </a:r>
                    <a:endParaRPr lang="en-US"/>
                  </a:p>
                </c:rich>
              </c:tx>
              <c:showVal val="1"/>
            </c:dLbl>
            <c:dLbl>
              <c:idx val="7"/>
              <c:tx>
                <c:rich>
                  <a:bodyPr/>
                  <a:lstStyle/>
                  <a:p>
                    <a:r>
                      <a:rPr lang="pl-PL" sz="900"/>
                      <a:t>4</a:t>
                    </a:r>
                    <a:r>
                      <a:rPr lang="pl-PL"/>
                      <a:t>,1%</a:t>
                    </a:r>
                    <a:endParaRPr lang="en-US"/>
                  </a:p>
                </c:rich>
              </c:tx>
              <c:showVal val="1"/>
            </c:dLbl>
            <c:dLbl>
              <c:idx val="8"/>
              <c:tx>
                <c:rich>
                  <a:bodyPr/>
                  <a:lstStyle/>
                  <a:p>
                    <a:r>
                      <a:rPr lang="pl-PL" sz="900"/>
                      <a:t>0</a:t>
                    </a:r>
                    <a:r>
                      <a:rPr lang="pl-PL"/>
                      <a:t>,5%</a:t>
                    </a:r>
                    <a:endParaRPr lang="en-US"/>
                  </a:p>
                </c:rich>
              </c:tx>
              <c:showVal val="1"/>
            </c:dLbl>
            <c:txPr>
              <a:bodyPr/>
              <a:lstStyle/>
              <a:p>
                <a:pPr>
                  <a:defRPr sz="900"/>
                </a:pPr>
                <a:endParaRPr lang="pl-PL"/>
              </a:p>
            </c:txPr>
            <c:showVal val="1"/>
          </c:dLbls>
          <c:cat>
            <c:strRef>
              <c:f>Arkusz6!$A$2:$A$10</c:f>
              <c:strCache>
                <c:ptCount val="9"/>
                <c:pt idx="0">
                  <c:v>Uzyskanie ubezpieczenia zdrowotnego</c:v>
                </c:pt>
                <c:pt idx="1">
                  <c:v>Możliwość skorzystania z pośrednictwa pracy (dostęp do ofert pracy)</c:v>
                </c:pt>
                <c:pt idx="2">
                  <c:v>Możliwość skorzystania ze szkoleń, kursów</c:v>
                </c:pt>
                <c:pt idx="3">
                  <c:v>Skierowanie do odbycia stażu</c:v>
                </c:pt>
                <c:pt idx="4">
                  <c:v>Zasiłek dla bezrobotnych</c:v>
                </c:pt>
                <c:pt idx="5">
                  <c:v>Możliwość uzyskania dofinansowania na rozpoczęcie działalności gospodarczej</c:v>
                </c:pt>
                <c:pt idx="6">
                  <c:v>Możliwość skorzystania z poradnictwa zawodowego</c:v>
                </c:pt>
                <c:pt idx="7">
                  <c:v>Możliwość skorzystania z prac interwencyjnych, robót publicznych</c:v>
                </c:pt>
                <c:pt idx="8">
                  <c:v>Inne</c:v>
                </c:pt>
              </c:strCache>
            </c:strRef>
          </c:cat>
          <c:val>
            <c:numRef>
              <c:f>Arkusz6!$B$2:$B$10</c:f>
              <c:numCache>
                <c:formatCode>General</c:formatCode>
                <c:ptCount val="9"/>
                <c:pt idx="0">
                  <c:v>1232</c:v>
                </c:pt>
                <c:pt idx="1">
                  <c:v>1057</c:v>
                </c:pt>
                <c:pt idx="2">
                  <c:v>898</c:v>
                </c:pt>
                <c:pt idx="3">
                  <c:v>848</c:v>
                </c:pt>
                <c:pt idx="4">
                  <c:v>299</c:v>
                </c:pt>
                <c:pt idx="5">
                  <c:v>252</c:v>
                </c:pt>
                <c:pt idx="6">
                  <c:v>125</c:v>
                </c:pt>
                <c:pt idx="7">
                  <c:v>116</c:v>
                </c:pt>
                <c:pt idx="8">
                  <c:v>13</c:v>
                </c:pt>
              </c:numCache>
            </c:numRef>
          </c:val>
        </c:ser>
        <c:dLbls>
          <c:showVal val="1"/>
        </c:dLbls>
        <c:gapWidth val="75"/>
        <c:axId val="101374976"/>
        <c:axId val="101483264"/>
      </c:barChart>
      <c:catAx>
        <c:axId val="101374976"/>
        <c:scaling>
          <c:orientation val="maxMin"/>
        </c:scaling>
        <c:axPos val="l"/>
        <c:majorTickMark val="none"/>
        <c:tickLblPos val="nextTo"/>
        <c:crossAx val="101483264"/>
        <c:crosses val="autoZero"/>
        <c:auto val="1"/>
        <c:lblAlgn val="ctr"/>
        <c:lblOffset val="100"/>
      </c:catAx>
      <c:valAx>
        <c:axId val="101483264"/>
        <c:scaling>
          <c:orientation val="minMax"/>
        </c:scaling>
        <c:axPos val="t"/>
        <c:numFmt formatCode="General" sourceLinked="1"/>
        <c:majorTickMark val="none"/>
        <c:tickLblPos val="nextTo"/>
        <c:txPr>
          <a:bodyPr/>
          <a:lstStyle/>
          <a:p>
            <a:pPr>
              <a:defRPr sz="900"/>
            </a:pPr>
            <a:endParaRPr lang="pl-PL"/>
          </a:p>
        </c:txPr>
        <c:crossAx val="101374976"/>
        <c:crosses val="autoZero"/>
        <c:crossBetween val="between"/>
      </c:valAx>
    </c:plotArea>
    <c:plotVisOnly val="1"/>
    <c:dispBlanksAs val="gap"/>
  </c:chart>
  <c:txPr>
    <a:bodyPr/>
    <a:lstStyle/>
    <a:p>
      <a:pPr>
        <a:defRPr>
          <a:latin typeface="Arial" pitchFamily="34" charset="0"/>
          <a:cs typeface="Arial" pitchFamily="34" charset="0"/>
        </a:defRPr>
      </a:pPr>
      <a:endParaRPr lang="pl-PL"/>
    </a:p>
  </c:txPr>
  <c:externalData r:id="rId1"/>
</c:chartSpace>
</file>

<file path=word/drawings/drawing1.xml><?xml version="1.0" encoding="utf-8"?>
<c:userShapes xmlns:c="http://schemas.openxmlformats.org/drawingml/2006/chart">
  <cdr:relSizeAnchor xmlns:cdr="http://schemas.openxmlformats.org/drawingml/2006/chartDrawing">
    <cdr:from>
      <cdr:x>0.06052</cdr:x>
      <cdr:y>0.55819</cdr:y>
    </cdr:from>
    <cdr:to>
      <cdr:x>1</cdr:x>
      <cdr:y>0.56034</cdr:y>
    </cdr:to>
    <cdr:sp macro="" textlink="">
      <cdr:nvSpPr>
        <cdr:cNvPr id="3" name="Łącznik prosty 2"/>
        <cdr:cNvSpPr/>
      </cdr:nvSpPr>
      <cdr:spPr>
        <a:xfrm xmlns:a="http://schemas.openxmlformats.org/drawingml/2006/main">
          <a:off x="400050" y="2466975"/>
          <a:ext cx="6210300" cy="9525"/>
        </a:xfrm>
        <a:prstGeom xmlns:a="http://schemas.openxmlformats.org/drawingml/2006/main" prst="line">
          <a:avLst/>
        </a:prstGeom>
        <a:ln xmlns:a="http://schemas.openxmlformats.org/drawingml/2006/main" w="222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0.05908</cdr:x>
      <cdr:y>0.18868</cdr:y>
    </cdr:from>
    <cdr:to>
      <cdr:x>1</cdr:x>
      <cdr:y>0.19299</cdr:y>
    </cdr:to>
    <cdr:sp macro="" textlink="">
      <cdr:nvSpPr>
        <cdr:cNvPr id="5" name="Łącznik prosty 4"/>
        <cdr:cNvSpPr/>
      </cdr:nvSpPr>
      <cdr:spPr>
        <a:xfrm xmlns:a="http://schemas.openxmlformats.org/drawingml/2006/main" flipV="1">
          <a:off x="362561" y="725050"/>
          <a:ext cx="5755029" cy="16562"/>
        </a:xfrm>
        <a:prstGeom xmlns:a="http://schemas.openxmlformats.org/drawingml/2006/main" prst="line">
          <a:avLst/>
        </a:prstGeom>
        <a:ln xmlns:a="http://schemas.openxmlformats.org/drawingml/2006/main" w="1905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0.0634</cdr:x>
      <cdr:y>0.14773</cdr:y>
    </cdr:from>
    <cdr:to>
      <cdr:x>1</cdr:x>
      <cdr:y>0.15204</cdr:y>
    </cdr:to>
    <cdr:sp macro="" textlink="">
      <cdr:nvSpPr>
        <cdr:cNvPr id="7" name="Łącznik prosty 6"/>
        <cdr:cNvSpPr/>
      </cdr:nvSpPr>
      <cdr:spPr>
        <a:xfrm xmlns:a="http://schemas.openxmlformats.org/drawingml/2006/main" flipV="1">
          <a:off x="388349" y="567693"/>
          <a:ext cx="5728606" cy="16562"/>
        </a:xfrm>
        <a:prstGeom xmlns:a="http://schemas.openxmlformats.org/drawingml/2006/main" prst="line">
          <a:avLst/>
        </a:prstGeom>
        <a:ln xmlns:a="http://schemas.openxmlformats.org/drawingml/2006/main" w="19050">
          <a:solidFill>
            <a:schemeClr val="tx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0.67826</cdr:x>
      <cdr:y>0</cdr:y>
    </cdr:from>
    <cdr:to>
      <cdr:x>0.68799</cdr:x>
      <cdr:y>0.85534</cdr:y>
    </cdr:to>
    <cdr:sp macro="" textlink="">
      <cdr:nvSpPr>
        <cdr:cNvPr id="3" name="Łącznik prosty 2"/>
        <cdr:cNvSpPr/>
      </cdr:nvSpPr>
      <cdr:spPr>
        <a:xfrm xmlns:a="http://schemas.openxmlformats.org/drawingml/2006/main" flipV="1">
          <a:off x="3994704" y="0"/>
          <a:ext cx="57306" cy="3047834"/>
        </a:xfrm>
        <a:prstGeom xmlns:a="http://schemas.openxmlformats.org/drawingml/2006/main" prst="line">
          <a:avLst/>
        </a:prstGeom>
        <a:ln xmlns:a="http://schemas.openxmlformats.org/drawingml/2006/main" w="19050">
          <a:solidFill>
            <a:schemeClr val="tx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0.83868</cdr:x>
      <cdr:y>0.00236</cdr:y>
    </cdr:from>
    <cdr:to>
      <cdr:x>0.8448</cdr:x>
      <cdr:y>0.85297</cdr:y>
    </cdr:to>
    <cdr:sp macro="" textlink="">
      <cdr:nvSpPr>
        <cdr:cNvPr id="5" name="Łącznik prosty 4"/>
        <cdr:cNvSpPr/>
      </cdr:nvSpPr>
      <cdr:spPr>
        <a:xfrm xmlns:a="http://schemas.openxmlformats.org/drawingml/2006/main" flipV="1">
          <a:off x="4981575" y="9487"/>
          <a:ext cx="36360" cy="3419513"/>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2014-02-01T00:00:00</PublishDate>
  <Abstract>Projekt współfinansowany ze środków Unii Europejskiej w ramach Europejskiego Funduszu Społecznego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520FE-424A-4861-B23B-916987B2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4410</Words>
  <Characters>26460</Characters>
  <Application>Microsoft Office Word</Application>
  <DocSecurity>4</DocSecurity>
  <Lines>220</Lines>
  <Paragraphs>61</Paragraphs>
  <ScaleCrop>false</ScaleCrop>
  <HeadingPairs>
    <vt:vector size="2" baseType="variant">
      <vt:variant>
        <vt:lpstr>Tytuł</vt:lpstr>
      </vt:variant>
      <vt:variant>
        <vt:i4>1</vt:i4>
      </vt:variant>
    </vt:vector>
  </HeadingPairs>
  <TitlesOfParts>
    <vt:vector size="1" baseType="lpstr">
      <vt:lpstr>Sytuacja osób młodych na wielkopolskim rynku pracy w województwie wielkopolskim</vt:lpstr>
    </vt:vector>
  </TitlesOfParts>
  <Company>Hewlett-Packard Company</Company>
  <LinksUpToDate>false</LinksUpToDate>
  <CharactersWithSpaces>30809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osób młodych na wielkopolskim rynku pracy w województwie wielkopolskim</dc:title>
  <dc:subject>Badanie osób bezrobotnych do 34 roku życia realizowane za pośrednictwem powiatowych urzędów pracy województwa wielkopolskiego</dc:subject>
  <dc:creator>Wielkopolskie Obserwatorium Rynku Pracy II</dc:creator>
  <cp:lastModifiedBy>WUP</cp:lastModifiedBy>
  <cp:revision>2</cp:revision>
  <cp:lastPrinted>2014-02-26T10:29:00Z</cp:lastPrinted>
  <dcterms:created xsi:type="dcterms:W3CDTF">2020-06-26T12:36:00Z</dcterms:created>
  <dcterms:modified xsi:type="dcterms:W3CDTF">2020-06-26T12:36:00Z</dcterms:modified>
</cp:coreProperties>
</file>