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25154A">
        <w:rPr>
          <w:rFonts w:ascii="Arial" w:hAnsi="Arial" w:cs="Arial"/>
        </w:rPr>
        <w:t xml:space="preserve"> 31 </w:t>
      </w:r>
      <w:r w:rsidR="003E573C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3E573C">
        <w:rPr>
          <w:rFonts w:ascii="Arial" w:hAnsi="Arial" w:cs="Arial"/>
        </w:rPr>
        <w:t>1</w:t>
      </w:r>
      <w:r w:rsidR="00547884">
        <w:rPr>
          <w:rFonts w:ascii="Arial" w:hAnsi="Arial" w:cs="Arial"/>
        </w:rPr>
        <w:t>/3321/</w:t>
      </w:r>
      <w:r w:rsidR="003E573C">
        <w:rPr>
          <w:rFonts w:ascii="Arial" w:hAnsi="Arial" w:cs="Arial"/>
        </w:rPr>
        <w:t>10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7C6A2D" w:rsidRDefault="007C6A2D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:rsidR="003F6A4C" w:rsidRDefault="007C6A2D" w:rsidP="00C37F36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3E573C" w:rsidRPr="006579CE">
        <w:rPr>
          <w:rFonts w:ascii="Arial" w:hAnsi="Arial" w:cs="Arial"/>
          <w:b/>
        </w:rPr>
        <w:t>Kompleksowa dostawa energii elektrycznej od dnia 01.01.2019 r. do 31.12.2020 r. tj. sprzedaż energii elektrycznej oraz świadczenie usług dystrybucji energii elektrycznej do Oddziałów Zamiejscowych Wojewódzkiego Urzędu Pracy w Poznaniu: Oddział Zamiejscowy w Pile, w Kaliszu</w:t>
      </w:r>
      <w:r w:rsidR="003E573C">
        <w:rPr>
          <w:rFonts w:ascii="Arial" w:hAnsi="Arial" w:cs="Arial"/>
          <w:b/>
        </w:rPr>
        <w:t xml:space="preserve"> i</w:t>
      </w:r>
      <w:r w:rsidR="003E573C" w:rsidRPr="006579CE">
        <w:rPr>
          <w:rFonts w:ascii="Arial" w:hAnsi="Arial" w:cs="Arial"/>
          <w:b/>
        </w:rPr>
        <w:t xml:space="preserve"> w Koninie</w:t>
      </w:r>
      <w:r w:rsidR="00133365">
        <w:rPr>
          <w:rFonts w:ascii="Arial" w:hAnsi="Arial" w:cs="Arial"/>
          <w:b/>
        </w:rPr>
        <w:t>”</w:t>
      </w:r>
    </w:p>
    <w:p w:rsidR="00AA7D3C" w:rsidRDefault="00AA7D3C" w:rsidP="00C37F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09691E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3E573C">
        <w:rPr>
          <w:rFonts w:ascii="Arial" w:hAnsi="Arial" w:cs="Arial"/>
        </w:rPr>
        <w:t>3</w:t>
      </w:r>
      <w:r w:rsidR="00547884">
        <w:rPr>
          <w:rFonts w:ascii="Arial" w:hAnsi="Arial" w:cs="Arial"/>
        </w:rPr>
        <w:t>1</w:t>
      </w:r>
      <w:r w:rsidR="003F6A4C" w:rsidRPr="00CB217D">
        <w:rPr>
          <w:rFonts w:ascii="Arial" w:hAnsi="Arial" w:cs="Arial"/>
        </w:rPr>
        <w:t>.</w:t>
      </w:r>
      <w:r w:rsidR="003E573C">
        <w:rPr>
          <w:rFonts w:ascii="Arial" w:hAnsi="Arial" w:cs="Arial"/>
        </w:rPr>
        <w:t>10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201</w:t>
      </w:r>
      <w:r w:rsidR="009909CA">
        <w:rPr>
          <w:rFonts w:ascii="Arial" w:hAnsi="Arial" w:cs="Arial"/>
        </w:rPr>
        <w:t>8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1986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245"/>
        <w:gridCol w:w="1559"/>
        <w:gridCol w:w="1459"/>
        <w:gridCol w:w="1092"/>
        <w:gridCol w:w="2534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Pr="00133365" w:rsidRDefault="003E573C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="00547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70BF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6F7C0C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73C" w:rsidRPr="006F7C0C">
              <w:rPr>
                <w:rFonts w:ascii="Arial" w:hAnsi="Arial" w:cs="Arial"/>
                <w:b/>
                <w:sz w:val="18"/>
                <w:szCs w:val="18"/>
              </w:rPr>
              <w:t>111 779,89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 </w:t>
            </w:r>
          </w:p>
          <w:p w:rsidR="008C69E0" w:rsidRPr="003E573C" w:rsidRDefault="00133365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F7C0C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="00547884" w:rsidRPr="006F7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73C" w:rsidRPr="006F7C0C">
              <w:rPr>
                <w:rFonts w:ascii="Arial" w:hAnsi="Arial" w:cs="Arial"/>
                <w:b/>
                <w:sz w:val="18"/>
                <w:szCs w:val="18"/>
              </w:rPr>
              <w:t>248 220,11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6F7C0C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D30D92" w:rsidTr="006F7C0C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D30D92" w:rsidRDefault="003E573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ENEA S.A. </w:t>
            </w:r>
          </w:p>
          <w:p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Górecka 1</w:t>
            </w:r>
          </w:p>
          <w:p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60-201 Poznań</w:t>
            </w:r>
          </w:p>
          <w:p w:rsidR="00547884" w:rsidRPr="00D30D92" w:rsidRDefault="0054788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FDF" w:rsidRPr="00D30D92" w:rsidRDefault="006F7C0C" w:rsidP="007032B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161 </w:t>
            </w:r>
            <w:r w:rsidR="007032B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76,83</w:t>
            </w:r>
          </w:p>
        </w:tc>
        <w:tc>
          <w:tcPr>
            <w:tcW w:w="1459" w:type="dxa"/>
            <w:vAlign w:val="center"/>
          </w:tcPr>
          <w:p w:rsidR="00CE7175" w:rsidRPr="00D30D92" w:rsidRDefault="003E573C" w:rsidP="003E5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>01.01.2019 r. do 31.12.2020 r.</w:t>
            </w:r>
          </w:p>
        </w:tc>
        <w:tc>
          <w:tcPr>
            <w:tcW w:w="1092" w:type="dxa"/>
            <w:vAlign w:val="center"/>
          </w:tcPr>
          <w:p w:rsidR="0056460A" w:rsidRPr="00D30D92" w:rsidRDefault="00C37F36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172FDF" w:rsidRPr="00D30D92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D30D92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172FDF" w:rsidRPr="00D30D92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płatność przelew, </w:t>
            </w:r>
          </w:p>
          <w:p w:rsidR="00172FDF" w:rsidRPr="00D30D92" w:rsidRDefault="00172FDF" w:rsidP="003E573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31" w:rsidRPr="00016613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620D31" w:rsidRPr="00016613" w:rsidTr="006F7C0C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6460A" w:rsidRPr="00366C7F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:rsidR="0056460A" w:rsidRPr="00D30D92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245" w:type="dxa"/>
            <w:vAlign w:val="center"/>
          </w:tcPr>
          <w:p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Energa Obrót S.A.</w:t>
            </w:r>
          </w:p>
          <w:p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al. Grunwaldzka 472</w:t>
            </w:r>
          </w:p>
          <w:p w:rsidR="0056460A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80-309 Gdańsk</w:t>
            </w: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  <w:p w:rsidR="006F7C0C" w:rsidRPr="00D30D92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:rsidR="0056460A" w:rsidRDefault="0056460A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13 581,25</w:t>
            </w:r>
          </w:p>
          <w:p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  <w:u w:val="single"/>
              </w:rPr>
              <w:t>267 015,64</w:t>
            </w:r>
          </w:p>
          <w:p w:rsidR="006F7C0C" w:rsidRP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280 596,89</w:t>
            </w:r>
          </w:p>
        </w:tc>
        <w:tc>
          <w:tcPr>
            <w:tcW w:w="1459" w:type="dxa"/>
            <w:vAlign w:val="center"/>
          </w:tcPr>
          <w:p w:rsidR="0056460A" w:rsidRPr="00D30D92" w:rsidRDefault="003E573C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>01.01.2019 r. do 31.12.2020 r.</w:t>
            </w:r>
          </w:p>
        </w:tc>
        <w:tc>
          <w:tcPr>
            <w:tcW w:w="1092" w:type="dxa"/>
            <w:vAlign w:val="center"/>
          </w:tcPr>
          <w:p w:rsidR="0056460A" w:rsidRPr="00D30D92" w:rsidRDefault="00C37F36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5470DD" w:rsidRPr="00D30D92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D30D92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56460A" w:rsidRPr="00D30D92" w:rsidRDefault="005470DD" w:rsidP="003E57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płatność przelew, </w:t>
            </w:r>
          </w:p>
        </w:tc>
      </w:tr>
    </w:tbl>
    <w:p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:rsidR="0025154A" w:rsidRPr="004A7A97" w:rsidRDefault="0025154A" w:rsidP="0025154A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25154A" w:rsidRPr="004A7A97" w:rsidRDefault="0025154A" w:rsidP="0025154A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25154A" w:rsidRPr="004A7A97" w:rsidSect="00F2726F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D88C429" wp14:editId="22DA269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6BC586D" wp14:editId="029914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077CEC" wp14:editId="08502C33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6F7C0C"/>
    <w:rsid w:val="007032B4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8073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0106-ECF8-45C8-AD5B-E48F9EE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76</cp:revision>
  <cp:lastPrinted>2018-10-31T11:13:00Z</cp:lastPrinted>
  <dcterms:created xsi:type="dcterms:W3CDTF">2016-09-29T07:13:00Z</dcterms:created>
  <dcterms:modified xsi:type="dcterms:W3CDTF">2018-10-31T12:52:00Z</dcterms:modified>
</cp:coreProperties>
</file>